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216" w:rsidRDefault="00B70216" w:rsidP="00B70216">
      <w:pPr>
        <w:autoSpaceDE w:val="0"/>
        <w:autoSpaceDN w:val="0"/>
        <w:adjustRightInd w:val="0"/>
        <w:spacing w:after="0" w:line="240" w:lineRule="auto"/>
        <w:jc w:val="center"/>
        <w:rPr>
          <w:rFonts w:ascii="Arial-BoldMT" w:hAnsi="Arial-BoldMT" w:cs="Arial-BoldMT"/>
          <w:b/>
          <w:bCs/>
          <w:color w:val="000000"/>
          <w:sz w:val="32"/>
          <w:szCs w:val="32"/>
        </w:rPr>
      </w:pPr>
      <w:r>
        <w:rPr>
          <w:rFonts w:ascii="Arial-BoldMT" w:hAnsi="Arial-BoldMT" w:cs="Arial-BoldMT"/>
          <w:b/>
          <w:bCs/>
          <w:color w:val="000000"/>
          <w:sz w:val="32"/>
          <w:szCs w:val="32"/>
        </w:rPr>
        <w:t xml:space="preserve">Mesure de l’attention visuelle dans le cadre de l’utilisation de </w:t>
      </w:r>
      <w:proofErr w:type="spellStart"/>
      <w:r>
        <w:rPr>
          <w:rFonts w:ascii="Arial-BoldMT" w:hAnsi="Arial-BoldMT" w:cs="Arial-BoldMT"/>
          <w:b/>
          <w:bCs/>
          <w:color w:val="000000"/>
          <w:sz w:val="32"/>
          <w:szCs w:val="32"/>
        </w:rPr>
        <w:t>Serious</w:t>
      </w:r>
      <w:proofErr w:type="spellEnd"/>
      <w:r>
        <w:rPr>
          <w:rFonts w:ascii="Arial-BoldMT" w:hAnsi="Arial-BoldMT" w:cs="Arial-BoldMT"/>
          <w:b/>
          <w:bCs/>
          <w:color w:val="000000"/>
          <w:sz w:val="32"/>
          <w:szCs w:val="32"/>
        </w:rPr>
        <w:t xml:space="preserve"> Game </w:t>
      </w:r>
      <w:r w:rsidR="004265F1">
        <w:rPr>
          <w:rFonts w:ascii="Arial-BoldMT" w:hAnsi="Arial-BoldMT" w:cs="Arial-BoldMT"/>
          <w:b/>
          <w:bCs/>
          <w:color w:val="000000"/>
          <w:sz w:val="32"/>
          <w:szCs w:val="32"/>
        </w:rPr>
        <w:t>et de Jeux Informatiques</w:t>
      </w:r>
    </w:p>
    <w:p w:rsidR="00B70216" w:rsidRDefault="00B70216" w:rsidP="00B70216">
      <w:pPr>
        <w:autoSpaceDE w:val="0"/>
        <w:autoSpaceDN w:val="0"/>
        <w:adjustRightInd w:val="0"/>
        <w:spacing w:after="0" w:line="240" w:lineRule="auto"/>
        <w:jc w:val="center"/>
        <w:rPr>
          <w:rFonts w:ascii="Arial-BoldMT" w:hAnsi="Arial-BoldMT" w:cs="Arial-BoldMT"/>
          <w:b/>
          <w:bCs/>
          <w:color w:val="000000"/>
          <w:sz w:val="32"/>
          <w:szCs w:val="32"/>
        </w:rPr>
      </w:pPr>
    </w:p>
    <w:p w:rsidR="00B70216" w:rsidRDefault="00B70216" w:rsidP="00B70216">
      <w:pPr>
        <w:autoSpaceDE w:val="0"/>
        <w:autoSpaceDN w:val="0"/>
        <w:adjustRightInd w:val="0"/>
        <w:spacing w:after="0" w:line="240" w:lineRule="auto"/>
        <w:jc w:val="both"/>
        <w:rPr>
          <w:rFonts w:ascii="Arial-BoldMT" w:hAnsi="Arial-BoldMT" w:cs="Arial-BoldMT"/>
          <w:b/>
          <w:bCs/>
          <w:color w:val="000000"/>
          <w:sz w:val="20"/>
          <w:szCs w:val="20"/>
        </w:rPr>
      </w:pPr>
      <w:r>
        <w:rPr>
          <w:rFonts w:ascii="Arial-BoldMT" w:hAnsi="Arial-BoldMT" w:cs="Arial-BoldMT"/>
          <w:b/>
          <w:bCs/>
          <w:color w:val="000000"/>
          <w:sz w:val="20"/>
          <w:szCs w:val="20"/>
        </w:rPr>
        <w:t>Date de début : 01/0</w:t>
      </w:r>
      <w:r w:rsidR="000C278E">
        <w:rPr>
          <w:rFonts w:ascii="Arial-BoldMT" w:hAnsi="Arial-BoldMT" w:cs="Arial-BoldMT"/>
          <w:b/>
          <w:bCs/>
          <w:color w:val="000000"/>
          <w:sz w:val="20"/>
          <w:szCs w:val="20"/>
        </w:rPr>
        <w:t>2</w:t>
      </w:r>
      <w:r>
        <w:rPr>
          <w:rFonts w:ascii="Arial-BoldMT" w:hAnsi="Arial-BoldMT" w:cs="Arial-BoldMT"/>
          <w:b/>
          <w:bCs/>
          <w:color w:val="000000"/>
          <w:sz w:val="20"/>
          <w:szCs w:val="20"/>
        </w:rPr>
        <w:t>/201</w:t>
      </w:r>
      <w:r w:rsidR="000C278E">
        <w:rPr>
          <w:rFonts w:ascii="Arial-BoldMT" w:hAnsi="Arial-BoldMT" w:cs="Arial-BoldMT"/>
          <w:b/>
          <w:bCs/>
          <w:color w:val="000000"/>
          <w:sz w:val="20"/>
          <w:szCs w:val="20"/>
        </w:rPr>
        <w:t>9</w:t>
      </w:r>
    </w:p>
    <w:p w:rsidR="00B70216" w:rsidRDefault="00B70216" w:rsidP="00B70216">
      <w:pPr>
        <w:autoSpaceDE w:val="0"/>
        <w:autoSpaceDN w:val="0"/>
        <w:adjustRightInd w:val="0"/>
        <w:spacing w:after="0" w:line="240" w:lineRule="auto"/>
        <w:jc w:val="both"/>
        <w:rPr>
          <w:rFonts w:ascii="Calibri" w:hAnsi="Calibri" w:cs="Calibri"/>
          <w:color w:val="000000"/>
        </w:rPr>
      </w:pPr>
      <w:r>
        <w:rPr>
          <w:rFonts w:ascii="Arial-BoldMT" w:hAnsi="Arial-BoldMT" w:cs="Arial-BoldMT"/>
          <w:b/>
          <w:bCs/>
          <w:color w:val="000000"/>
          <w:sz w:val="20"/>
          <w:szCs w:val="20"/>
        </w:rPr>
        <w:t xml:space="preserve">Unité d’affectation : </w:t>
      </w:r>
      <w:r>
        <w:rPr>
          <w:rFonts w:ascii="Calibri" w:hAnsi="Calibri" w:cs="Calibri"/>
          <w:color w:val="000000"/>
        </w:rPr>
        <w:t xml:space="preserve">Laboratoire </w:t>
      </w:r>
      <w:proofErr w:type="spellStart"/>
      <w:r>
        <w:rPr>
          <w:rFonts w:ascii="Calibri" w:hAnsi="Calibri" w:cs="Calibri"/>
          <w:color w:val="000000"/>
        </w:rPr>
        <w:t>Xlim</w:t>
      </w:r>
      <w:proofErr w:type="spellEnd"/>
      <w:r>
        <w:rPr>
          <w:rFonts w:ascii="Calibri" w:hAnsi="Calibri" w:cs="Calibri"/>
          <w:color w:val="000000"/>
        </w:rPr>
        <w:t>, Université de Poitiers (</w:t>
      </w:r>
      <w:r>
        <w:rPr>
          <w:rFonts w:ascii="Calibri" w:hAnsi="Calibri" w:cs="Calibri"/>
          <w:color w:val="0000FF"/>
        </w:rPr>
        <w:t>http://xlim.fr/</w:t>
      </w:r>
      <w:r>
        <w:rPr>
          <w:rFonts w:ascii="Calibri" w:hAnsi="Calibri" w:cs="Calibri"/>
          <w:color w:val="000000"/>
        </w:rPr>
        <w:t>)</w:t>
      </w:r>
    </w:p>
    <w:p w:rsidR="00B70216" w:rsidRDefault="00B70216" w:rsidP="00B70216">
      <w:pPr>
        <w:autoSpaceDE w:val="0"/>
        <w:autoSpaceDN w:val="0"/>
        <w:adjustRightInd w:val="0"/>
        <w:spacing w:after="0" w:line="240" w:lineRule="auto"/>
        <w:jc w:val="both"/>
        <w:rPr>
          <w:rFonts w:ascii="ArialMT" w:hAnsi="ArialMT" w:cs="ArialMT"/>
          <w:color w:val="000000"/>
          <w:sz w:val="20"/>
          <w:szCs w:val="20"/>
        </w:rPr>
      </w:pPr>
      <w:r>
        <w:rPr>
          <w:rFonts w:ascii="Arial-BoldMT" w:hAnsi="Arial-BoldMT" w:cs="Arial-BoldMT"/>
          <w:b/>
          <w:bCs/>
          <w:color w:val="000000"/>
          <w:sz w:val="20"/>
          <w:szCs w:val="20"/>
        </w:rPr>
        <w:t xml:space="preserve">Nom du Directeur d’Unité : </w:t>
      </w:r>
      <w:r>
        <w:rPr>
          <w:rFonts w:ascii="ArialMT" w:hAnsi="ArialMT" w:cs="ArialMT"/>
          <w:color w:val="000000"/>
          <w:sz w:val="20"/>
          <w:szCs w:val="20"/>
        </w:rPr>
        <w:t>Dominique BAILLARGEAT</w:t>
      </w:r>
    </w:p>
    <w:p w:rsidR="00B70216" w:rsidRDefault="00B70216" w:rsidP="00B70216">
      <w:pPr>
        <w:autoSpaceDE w:val="0"/>
        <w:autoSpaceDN w:val="0"/>
        <w:adjustRightInd w:val="0"/>
        <w:spacing w:after="0" w:line="240" w:lineRule="auto"/>
        <w:jc w:val="both"/>
        <w:rPr>
          <w:rFonts w:ascii="ArialMT" w:hAnsi="ArialMT" w:cs="ArialMT"/>
          <w:color w:val="000000"/>
          <w:sz w:val="20"/>
          <w:szCs w:val="20"/>
        </w:rPr>
      </w:pPr>
      <w:r>
        <w:rPr>
          <w:rFonts w:ascii="Arial-BoldMT" w:hAnsi="Arial-BoldMT" w:cs="Arial-BoldMT"/>
          <w:b/>
          <w:bCs/>
          <w:color w:val="000000"/>
          <w:sz w:val="20"/>
          <w:szCs w:val="20"/>
        </w:rPr>
        <w:t xml:space="preserve">Directrice de thèse : </w:t>
      </w:r>
      <w:r>
        <w:rPr>
          <w:rFonts w:ascii="ArialMT" w:hAnsi="ArialMT" w:cs="ArialMT"/>
          <w:color w:val="000000"/>
          <w:sz w:val="20"/>
          <w:szCs w:val="20"/>
        </w:rPr>
        <w:t>Christine FERNANDEZ MALOIGNE</w:t>
      </w:r>
    </w:p>
    <w:p w:rsidR="00B70216" w:rsidRDefault="00B70216" w:rsidP="00B70216">
      <w:pPr>
        <w:autoSpaceDE w:val="0"/>
        <w:autoSpaceDN w:val="0"/>
        <w:adjustRightInd w:val="0"/>
        <w:spacing w:after="0" w:line="240" w:lineRule="auto"/>
        <w:jc w:val="both"/>
        <w:rPr>
          <w:rFonts w:ascii="ArialMT" w:hAnsi="ArialMT" w:cs="ArialMT"/>
          <w:color w:val="000000"/>
          <w:sz w:val="20"/>
          <w:szCs w:val="20"/>
        </w:rPr>
      </w:pPr>
      <w:r>
        <w:rPr>
          <w:rFonts w:ascii="Arial-BoldMT" w:hAnsi="Arial-BoldMT" w:cs="Arial-BoldMT"/>
          <w:b/>
          <w:bCs/>
          <w:color w:val="000000"/>
          <w:sz w:val="20"/>
          <w:szCs w:val="20"/>
        </w:rPr>
        <w:t xml:space="preserve">Co-directeur de thèse : </w:t>
      </w:r>
      <w:r>
        <w:rPr>
          <w:rFonts w:ascii="ArialMT" w:hAnsi="ArialMT" w:cs="ArialMT"/>
          <w:color w:val="000000"/>
          <w:sz w:val="20"/>
          <w:szCs w:val="20"/>
        </w:rPr>
        <w:t>François LECELLIER</w:t>
      </w:r>
    </w:p>
    <w:p w:rsidR="00B70216" w:rsidRDefault="00B70216" w:rsidP="00B70216">
      <w:pPr>
        <w:autoSpaceDE w:val="0"/>
        <w:autoSpaceDN w:val="0"/>
        <w:adjustRightInd w:val="0"/>
        <w:spacing w:after="0" w:line="240" w:lineRule="auto"/>
        <w:jc w:val="both"/>
        <w:rPr>
          <w:rFonts w:ascii="ArialMT" w:hAnsi="ArialMT" w:cs="ArialMT"/>
          <w:color w:val="000000"/>
          <w:sz w:val="20"/>
          <w:szCs w:val="20"/>
        </w:rPr>
      </w:pPr>
    </w:p>
    <w:p w:rsidR="00B70216" w:rsidRDefault="00B70216" w:rsidP="00B70216">
      <w:pPr>
        <w:autoSpaceDE w:val="0"/>
        <w:autoSpaceDN w:val="0"/>
        <w:adjustRightInd w:val="0"/>
        <w:spacing w:after="0" w:line="240" w:lineRule="auto"/>
        <w:jc w:val="both"/>
        <w:rPr>
          <w:rFonts w:ascii="Arial-BoldMT" w:hAnsi="Arial-BoldMT" w:cs="Arial-BoldMT"/>
          <w:b/>
          <w:bCs/>
          <w:color w:val="000000"/>
          <w:sz w:val="20"/>
          <w:szCs w:val="20"/>
        </w:rPr>
      </w:pPr>
      <w:r>
        <w:rPr>
          <w:rFonts w:ascii="Arial-BoldMT" w:hAnsi="Arial-BoldMT" w:cs="Arial-BoldMT"/>
          <w:b/>
          <w:bCs/>
          <w:color w:val="000000"/>
          <w:sz w:val="20"/>
          <w:szCs w:val="20"/>
        </w:rPr>
        <w:t>Thèse CIFRE avec Grand Poitiers</w:t>
      </w:r>
    </w:p>
    <w:p w:rsidR="00B70216" w:rsidRDefault="00B70216" w:rsidP="00B70216">
      <w:pPr>
        <w:autoSpaceDE w:val="0"/>
        <w:autoSpaceDN w:val="0"/>
        <w:adjustRightInd w:val="0"/>
        <w:spacing w:after="0" w:line="240" w:lineRule="auto"/>
        <w:jc w:val="both"/>
        <w:rPr>
          <w:rFonts w:ascii="Arial-BoldMT" w:hAnsi="Arial-BoldMT" w:cs="Arial-BoldMT"/>
          <w:b/>
          <w:bCs/>
          <w:color w:val="000000"/>
          <w:sz w:val="20"/>
          <w:szCs w:val="20"/>
        </w:rPr>
      </w:pPr>
    </w:p>
    <w:p w:rsidR="00B70216" w:rsidRDefault="00B70216" w:rsidP="00B70216">
      <w:pPr>
        <w:autoSpaceDE w:val="0"/>
        <w:autoSpaceDN w:val="0"/>
        <w:adjustRightInd w:val="0"/>
        <w:spacing w:after="0" w:line="240" w:lineRule="auto"/>
        <w:jc w:val="both"/>
        <w:rPr>
          <w:rFonts w:ascii="ArialMT" w:hAnsi="ArialMT" w:cs="ArialMT"/>
          <w:color w:val="000000"/>
          <w:sz w:val="20"/>
          <w:szCs w:val="20"/>
        </w:rPr>
      </w:pPr>
      <w:r>
        <w:rPr>
          <w:rFonts w:ascii="Arial-BoldMT" w:hAnsi="Arial-BoldMT" w:cs="Arial-BoldMT"/>
          <w:b/>
          <w:bCs/>
          <w:color w:val="000000"/>
          <w:sz w:val="20"/>
          <w:szCs w:val="20"/>
        </w:rPr>
        <w:t xml:space="preserve">Contexte : </w:t>
      </w:r>
      <w:r>
        <w:rPr>
          <w:rFonts w:ascii="ArialMT" w:hAnsi="ArialMT" w:cs="ArialMT"/>
          <w:color w:val="000000"/>
          <w:sz w:val="20"/>
          <w:szCs w:val="20"/>
        </w:rPr>
        <w:t xml:space="preserve">Dans le cadre d’une collaboration en cours avec la communauté d’agglomération Grand Poitiers, le laboratoire </w:t>
      </w:r>
      <w:proofErr w:type="spellStart"/>
      <w:r>
        <w:rPr>
          <w:rFonts w:ascii="ArialMT" w:hAnsi="ArialMT" w:cs="ArialMT"/>
          <w:color w:val="000000"/>
          <w:sz w:val="20"/>
          <w:szCs w:val="20"/>
        </w:rPr>
        <w:t>Xlim</w:t>
      </w:r>
      <w:proofErr w:type="spellEnd"/>
      <w:r>
        <w:rPr>
          <w:rFonts w:ascii="ArialMT" w:hAnsi="ArialMT" w:cs="ArialMT"/>
          <w:color w:val="000000"/>
          <w:sz w:val="20"/>
          <w:szCs w:val="20"/>
        </w:rPr>
        <w:t xml:space="preserve"> propose une thèse en traitement et analyse d’images. La collaboration entre le laboratoire et la communauté urbaine consiste à étudier l’apport des </w:t>
      </w:r>
      <w:proofErr w:type="spellStart"/>
      <w:r>
        <w:rPr>
          <w:rFonts w:ascii="ArialMT" w:hAnsi="ArialMT" w:cs="ArialMT"/>
          <w:color w:val="000000"/>
          <w:sz w:val="20"/>
          <w:szCs w:val="20"/>
        </w:rPr>
        <w:t>Serious</w:t>
      </w:r>
      <w:proofErr w:type="spellEnd"/>
      <w:r>
        <w:rPr>
          <w:rFonts w:ascii="ArialMT" w:hAnsi="ArialMT" w:cs="ArialMT"/>
          <w:color w:val="000000"/>
          <w:sz w:val="20"/>
          <w:szCs w:val="20"/>
        </w:rPr>
        <w:t xml:space="preserve"> Game </w:t>
      </w:r>
      <w:r w:rsidR="004265F1">
        <w:rPr>
          <w:rFonts w:ascii="ArialMT" w:hAnsi="ArialMT" w:cs="ArialMT"/>
          <w:color w:val="000000"/>
          <w:sz w:val="20"/>
          <w:szCs w:val="20"/>
        </w:rPr>
        <w:t xml:space="preserve">et du Jeu Numérique </w:t>
      </w:r>
      <w:r>
        <w:rPr>
          <w:rFonts w:ascii="ArialMT" w:hAnsi="ArialMT" w:cs="ArialMT"/>
          <w:color w:val="000000"/>
          <w:sz w:val="20"/>
          <w:szCs w:val="20"/>
        </w:rPr>
        <w:t xml:space="preserve">sous la forme de mesures objectives de l’attention des </w:t>
      </w:r>
      <w:r w:rsidR="004265F1">
        <w:rPr>
          <w:rFonts w:ascii="ArialMT" w:hAnsi="ArialMT" w:cs="ArialMT"/>
          <w:color w:val="000000"/>
          <w:sz w:val="20"/>
          <w:szCs w:val="20"/>
        </w:rPr>
        <w:t>utilisateurs et des joueurs</w:t>
      </w:r>
      <w:r>
        <w:rPr>
          <w:rFonts w:ascii="ArialMT" w:hAnsi="ArialMT" w:cs="ArialMT"/>
          <w:color w:val="000000"/>
          <w:sz w:val="20"/>
          <w:szCs w:val="20"/>
        </w:rPr>
        <w:t>. Ces mesures seront réalisées auprès d’élèves d’école primaire</w:t>
      </w:r>
      <w:r w:rsidR="004265F1">
        <w:rPr>
          <w:rFonts w:ascii="ArialMT" w:hAnsi="ArialMT" w:cs="ArialMT"/>
          <w:color w:val="000000"/>
          <w:sz w:val="20"/>
          <w:szCs w:val="20"/>
        </w:rPr>
        <w:t>,</w:t>
      </w:r>
      <w:r>
        <w:rPr>
          <w:rFonts w:ascii="ArialMT" w:hAnsi="ArialMT" w:cs="ArialMT"/>
          <w:color w:val="000000"/>
          <w:sz w:val="20"/>
          <w:szCs w:val="20"/>
        </w:rPr>
        <w:t xml:space="preserve"> de collégiens et d’étudiants par le biais de l’</w:t>
      </w:r>
      <w:proofErr w:type="spellStart"/>
      <w:r>
        <w:rPr>
          <w:rFonts w:ascii="ArialMT" w:hAnsi="ArialMT" w:cs="ArialMT"/>
          <w:color w:val="000000"/>
          <w:sz w:val="20"/>
          <w:szCs w:val="20"/>
        </w:rPr>
        <w:t>eyetracking</w:t>
      </w:r>
      <w:proofErr w:type="spellEnd"/>
      <w:r>
        <w:rPr>
          <w:rFonts w:ascii="ArialMT" w:hAnsi="ArialMT" w:cs="ArialMT"/>
          <w:color w:val="000000"/>
          <w:sz w:val="20"/>
          <w:szCs w:val="20"/>
        </w:rPr>
        <w:t xml:space="preserve"> pour évaluer l’attention visuelle des élèves selon les modalités de l’enseignement (cours, travaux pratiques, exercices interactifs, utilisation de l’informatique)</w:t>
      </w:r>
      <w:r w:rsidR="004265F1">
        <w:rPr>
          <w:rFonts w:ascii="ArialMT" w:hAnsi="ArialMT" w:cs="ArialMT"/>
          <w:color w:val="000000"/>
          <w:sz w:val="20"/>
          <w:szCs w:val="20"/>
        </w:rPr>
        <w:t xml:space="preserve"> mais aussi via des mesures réalisées auprès de spécialistes des jeux </w:t>
      </w:r>
      <w:proofErr w:type="spellStart"/>
      <w:proofErr w:type="gramStart"/>
      <w:r w:rsidR="004265F1">
        <w:rPr>
          <w:rFonts w:ascii="ArialMT" w:hAnsi="ArialMT" w:cs="ArialMT"/>
          <w:color w:val="000000"/>
          <w:sz w:val="20"/>
          <w:szCs w:val="20"/>
        </w:rPr>
        <w:t>vidéos</w:t>
      </w:r>
      <w:proofErr w:type="spellEnd"/>
      <w:proofErr w:type="gramEnd"/>
      <w:r w:rsidR="004265F1">
        <w:rPr>
          <w:rFonts w:ascii="ArialMT" w:hAnsi="ArialMT" w:cs="ArialMT"/>
          <w:color w:val="000000"/>
          <w:sz w:val="20"/>
          <w:szCs w:val="20"/>
        </w:rPr>
        <w:t xml:space="preserve"> (team eSport de Grand Poitiers par exemple)</w:t>
      </w:r>
      <w:r>
        <w:rPr>
          <w:rFonts w:ascii="ArialMT" w:hAnsi="ArialMT" w:cs="ArialMT"/>
          <w:color w:val="000000"/>
          <w:sz w:val="20"/>
          <w:szCs w:val="20"/>
        </w:rPr>
        <w:t>.</w:t>
      </w:r>
      <w:r w:rsidR="004265F1">
        <w:rPr>
          <w:rFonts w:ascii="ArialMT" w:hAnsi="ArialMT" w:cs="ArialMT"/>
          <w:color w:val="000000"/>
          <w:sz w:val="20"/>
          <w:szCs w:val="20"/>
        </w:rPr>
        <w:t xml:space="preserve"> Ces mesures seront réalisées en lien avec les laboratoires </w:t>
      </w:r>
      <w:proofErr w:type="spellStart"/>
      <w:r w:rsidR="004265F1">
        <w:rPr>
          <w:rFonts w:ascii="ArialMT" w:hAnsi="ArialMT" w:cs="ArialMT"/>
          <w:color w:val="000000"/>
          <w:sz w:val="20"/>
          <w:szCs w:val="20"/>
        </w:rPr>
        <w:t>Techné</w:t>
      </w:r>
      <w:proofErr w:type="spellEnd"/>
      <w:r w:rsidR="004265F1">
        <w:rPr>
          <w:rFonts w:ascii="ArialMT" w:hAnsi="ArialMT" w:cs="ArialMT"/>
          <w:color w:val="000000"/>
          <w:sz w:val="20"/>
          <w:szCs w:val="20"/>
        </w:rPr>
        <w:t xml:space="preserve"> et </w:t>
      </w:r>
      <w:proofErr w:type="spellStart"/>
      <w:r w:rsidR="004265F1">
        <w:rPr>
          <w:rFonts w:ascii="ArialMT" w:hAnsi="ArialMT" w:cs="ArialMT"/>
          <w:color w:val="000000"/>
          <w:sz w:val="20"/>
          <w:szCs w:val="20"/>
        </w:rPr>
        <w:t>Cerca</w:t>
      </w:r>
      <w:proofErr w:type="spellEnd"/>
      <w:r w:rsidR="004265F1">
        <w:rPr>
          <w:rFonts w:ascii="ArialMT" w:hAnsi="ArialMT" w:cs="ArialMT"/>
          <w:color w:val="000000"/>
          <w:sz w:val="20"/>
          <w:szCs w:val="20"/>
        </w:rPr>
        <w:t xml:space="preserve"> de l’Université de Poitiers.</w:t>
      </w:r>
    </w:p>
    <w:p w:rsidR="00B70216" w:rsidRDefault="00B70216" w:rsidP="00B70216">
      <w:pPr>
        <w:autoSpaceDE w:val="0"/>
        <w:autoSpaceDN w:val="0"/>
        <w:adjustRightInd w:val="0"/>
        <w:spacing w:after="0" w:line="240" w:lineRule="auto"/>
        <w:jc w:val="both"/>
        <w:rPr>
          <w:rFonts w:ascii="ArialMT" w:hAnsi="ArialMT" w:cs="ArialMT"/>
          <w:color w:val="000000"/>
          <w:sz w:val="20"/>
          <w:szCs w:val="20"/>
        </w:rPr>
      </w:pPr>
    </w:p>
    <w:p w:rsidR="00B70216" w:rsidRDefault="00B70216" w:rsidP="00B70216">
      <w:pPr>
        <w:autoSpaceDE w:val="0"/>
        <w:autoSpaceDN w:val="0"/>
        <w:adjustRightInd w:val="0"/>
        <w:spacing w:after="0" w:line="240" w:lineRule="auto"/>
        <w:jc w:val="both"/>
        <w:rPr>
          <w:rFonts w:ascii="ArialMT" w:hAnsi="ArialMT" w:cs="ArialMT"/>
          <w:color w:val="000000"/>
          <w:sz w:val="20"/>
          <w:szCs w:val="20"/>
        </w:rPr>
      </w:pPr>
      <w:r>
        <w:rPr>
          <w:rFonts w:ascii="Arial-BoldMT" w:hAnsi="Arial-BoldMT" w:cs="Arial-BoldMT"/>
          <w:b/>
          <w:bCs/>
          <w:color w:val="000000"/>
          <w:sz w:val="20"/>
          <w:szCs w:val="20"/>
        </w:rPr>
        <w:t xml:space="preserve">Etat de l’art : </w:t>
      </w:r>
      <w:r>
        <w:rPr>
          <w:rFonts w:ascii="ArialMT" w:hAnsi="ArialMT" w:cs="ArialMT"/>
          <w:color w:val="000000"/>
          <w:sz w:val="20"/>
          <w:szCs w:val="20"/>
        </w:rPr>
        <w:t>Depuis une dizaine d’années quelques articles se sont penchés sur l’utilisation de l’</w:t>
      </w:r>
      <w:proofErr w:type="spellStart"/>
      <w:r>
        <w:rPr>
          <w:rFonts w:ascii="ArialMT" w:hAnsi="ArialMT" w:cs="ArialMT"/>
          <w:color w:val="000000"/>
          <w:sz w:val="20"/>
          <w:szCs w:val="20"/>
        </w:rPr>
        <w:t>eyetracking</w:t>
      </w:r>
      <w:proofErr w:type="spellEnd"/>
      <w:r>
        <w:rPr>
          <w:rFonts w:ascii="ArialMT" w:hAnsi="ArialMT" w:cs="ArialMT"/>
          <w:color w:val="000000"/>
          <w:sz w:val="20"/>
          <w:szCs w:val="20"/>
        </w:rPr>
        <w:t xml:space="preserve"> pour évaluer l’expérience d’apprentissage au travers des jeux [1,2]. Les auteurs ont à chaque fois montrer l’intérêt de ce type de mesures pour évaluer l’attention visuelle des utilisateurs. Mais ils ont également indiqué que les résultats dépendaient de manière très importante des types de publics et de leur intérêt pour le jeu. Une étude récente [3] a par ailleurs démontré que l’intérêt pour le jeu impactait de manière certaine les performances des utilisateurs au niveau de leur expérience de jeu et des notions appréhendées. Cependant, toutes ces études n’ont été faites que sur des populations relativement réduites et jamais à l’échelle de plusieurs dizaines </w:t>
      </w:r>
      <w:r w:rsidR="004265F1">
        <w:rPr>
          <w:rFonts w:ascii="ArialMT" w:hAnsi="ArialMT" w:cs="ArialMT"/>
          <w:color w:val="000000"/>
          <w:sz w:val="20"/>
          <w:szCs w:val="20"/>
        </w:rPr>
        <w:t>de personnes</w:t>
      </w:r>
      <w:r>
        <w:rPr>
          <w:rFonts w:ascii="ArialMT" w:hAnsi="ArialMT" w:cs="ArialMT"/>
          <w:color w:val="000000"/>
          <w:sz w:val="20"/>
          <w:szCs w:val="20"/>
        </w:rPr>
        <w:t xml:space="preserve"> de classes</w:t>
      </w:r>
      <w:r w:rsidR="004265F1">
        <w:rPr>
          <w:rFonts w:ascii="ArialMT" w:hAnsi="ArialMT" w:cs="ArialMT"/>
          <w:color w:val="000000"/>
          <w:sz w:val="20"/>
          <w:szCs w:val="20"/>
        </w:rPr>
        <w:t xml:space="preserve"> d’âge</w:t>
      </w:r>
      <w:r>
        <w:rPr>
          <w:rFonts w:ascii="ArialMT" w:hAnsi="ArialMT" w:cs="ArialMT"/>
          <w:color w:val="000000"/>
          <w:sz w:val="20"/>
          <w:szCs w:val="20"/>
        </w:rPr>
        <w:t xml:space="preserve"> et de milieux sociaux différents. Il est à noter également que les études n’ont jamais comparé l’attention des utilisateurs dans le cadre d’une utilisation de </w:t>
      </w:r>
      <w:proofErr w:type="spellStart"/>
      <w:r>
        <w:rPr>
          <w:rFonts w:ascii="ArialMT" w:hAnsi="ArialMT" w:cs="ArialMT"/>
          <w:color w:val="000000"/>
          <w:sz w:val="20"/>
          <w:szCs w:val="20"/>
        </w:rPr>
        <w:t>Serious</w:t>
      </w:r>
      <w:proofErr w:type="spellEnd"/>
      <w:r>
        <w:rPr>
          <w:rFonts w:ascii="ArialMT" w:hAnsi="ArialMT" w:cs="ArialMT"/>
          <w:color w:val="000000"/>
          <w:sz w:val="20"/>
          <w:szCs w:val="20"/>
        </w:rPr>
        <w:t xml:space="preserve"> Game</w:t>
      </w:r>
      <w:r w:rsidR="004265F1">
        <w:rPr>
          <w:rFonts w:ascii="ArialMT" w:hAnsi="ArialMT" w:cs="ArialMT"/>
          <w:color w:val="000000"/>
          <w:sz w:val="20"/>
          <w:szCs w:val="20"/>
        </w:rPr>
        <w:t xml:space="preserve"> ou de Jeux Vidéos « standards »</w:t>
      </w:r>
      <w:r>
        <w:rPr>
          <w:rFonts w:ascii="ArialMT" w:hAnsi="ArialMT" w:cs="ArialMT"/>
          <w:color w:val="000000"/>
          <w:sz w:val="20"/>
          <w:szCs w:val="20"/>
        </w:rPr>
        <w:t xml:space="preserve">. </w:t>
      </w:r>
    </w:p>
    <w:p w:rsidR="00B70216" w:rsidRDefault="00B70216" w:rsidP="00B70216">
      <w:pPr>
        <w:autoSpaceDE w:val="0"/>
        <w:autoSpaceDN w:val="0"/>
        <w:adjustRightInd w:val="0"/>
        <w:spacing w:after="0" w:line="240" w:lineRule="auto"/>
        <w:jc w:val="both"/>
        <w:rPr>
          <w:rFonts w:ascii="Arial-BoldMT" w:hAnsi="Arial-BoldMT" w:cs="Arial-BoldMT"/>
          <w:b/>
          <w:bCs/>
          <w:color w:val="000000"/>
          <w:sz w:val="20"/>
          <w:szCs w:val="20"/>
        </w:rPr>
      </w:pPr>
    </w:p>
    <w:p w:rsidR="00B70216" w:rsidRDefault="00B70216" w:rsidP="00B70216">
      <w:pPr>
        <w:autoSpaceDE w:val="0"/>
        <w:autoSpaceDN w:val="0"/>
        <w:adjustRightInd w:val="0"/>
        <w:spacing w:after="0" w:line="240" w:lineRule="auto"/>
        <w:jc w:val="both"/>
        <w:rPr>
          <w:rFonts w:ascii="ArialMT" w:hAnsi="ArialMT" w:cs="ArialMT"/>
          <w:color w:val="000000"/>
          <w:sz w:val="20"/>
          <w:szCs w:val="20"/>
        </w:rPr>
      </w:pPr>
      <w:r>
        <w:rPr>
          <w:rFonts w:ascii="Arial-BoldMT" w:hAnsi="Arial-BoldMT" w:cs="Arial-BoldMT"/>
          <w:b/>
          <w:bCs/>
          <w:color w:val="000000"/>
          <w:sz w:val="20"/>
          <w:szCs w:val="20"/>
        </w:rPr>
        <w:t xml:space="preserve">Objectif : </w:t>
      </w:r>
      <w:r>
        <w:rPr>
          <w:rFonts w:ascii="ArialMT" w:hAnsi="ArialMT" w:cs="ArialMT"/>
          <w:color w:val="000000"/>
          <w:sz w:val="20"/>
          <w:szCs w:val="20"/>
        </w:rPr>
        <w:t xml:space="preserve">L’objectif de cette thèse de doctorat est de déterminer des indices visuels fiables et précis de l’attention des utilisateurs dans le cadre de </w:t>
      </w:r>
      <w:r w:rsidR="004265F1">
        <w:rPr>
          <w:rFonts w:ascii="ArialMT" w:hAnsi="ArialMT" w:cs="ArialMT"/>
          <w:color w:val="000000"/>
          <w:sz w:val="20"/>
          <w:szCs w:val="20"/>
        </w:rPr>
        <w:t xml:space="preserve">l’utilisation de jeu numérique (qu’il soit </w:t>
      </w:r>
      <w:proofErr w:type="spellStart"/>
      <w:r w:rsidR="004265F1">
        <w:rPr>
          <w:rFonts w:ascii="ArialMT" w:hAnsi="ArialMT" w:cs="ArialMT"/>
          <w:color w:val="000000"/>
          <w:sz w:val="20"/>
          <w:szCs w:val="20"/>
        </w:rPr>
        <w:t>Serious</w:t>
      </w:r>
      <w:proofErr w:type="spellEnd"/>
      <w:r w:rsidR="004265F1">
        <w:rPr>
          <w:rFonts w:ascii="ArialMT" w:hAnsi="ArialMT" w:cs="ArialMT"/>
          <w:color w:val="000000"/>
          <w:sz w:val="20"/>
          <w:szCs w:val="20"/>
        </w:rPr>
        <w:t xml:space="preserve"> Game ou Jeu Vidéo classique)</w:t>
      </w:r>
      <w:r>
        <w:rPr>
          <w:rFonts w:ascii="ArialMT" w:hAnsi="ArialMT" w:cs="ArialMT"/>
          <w:color w:val="000000"/>
          <w:sz w:val="20"/>
          <w:szCs w:val="20"/>
        </w:rPr>
        <w:t xml:space="preserve">. Pour cela, il sera demandé au doctorant de préparer, en concertation avec </w:t>
      </w:r>
      <w:r w:rsidR="004265F1">
        <w:rPr>
          <w:rFonts w:ascii="ArialMT" w:hAnsi="ArialMT" w:cs="ArialMT"/>
          <w:color w:val="000000"/>
          <w:sz w:val="20"/>
          <w:szCs w:val="20"/>
        </w:rPr>
        <w:t>d</w:t>
      </w:r>
      <w:r>
        <w:rPr>
          <w:rFonts w:ascii="ArialMT" w:hAnsi="ArialMT" w:cs="ArialMT"/>
          <w:color w:val="000000"/>
          <w:sz w:val="20"/>
          <w:szCs w:val="20"/>
        </w:rPr>
        <w:t>es enseignants</w:t>
      </w:r>
      <w:r w:rsidR="004265F1">
        <w:rPr>
          <w:rFonts w:ascii="ArialMT" w:hAnsi="ArialMT" w:cs="ArialMT"/>
          <w:color w:val="000000"/>
          <w:sz w:val="20"/>
          <w:szCs w:val="20"/>
        </w:rPr>
        <w:t xml:space="preserve">, des professionnels, des chercheurs du laboratoire </w:t>
      </w:r>
      <w:proofErr w:type="spellStart"/>
      <w:r w:rsidR="004265F1">
        <w:rPr>
          <w:rFonts w:ascii="ArialMT" w:hAnsi="ArialMT" w:cs="ArialMT"/>
          <w:color w:val="000000"/>
          <w:sz w:val="20"/>
          <w:szCs w:val="20"/>
        </w:rPr>
        <w:t>Techné</w:t>
      </w:r>
      <w:proofErr w:type="spellEnd"/>
      <w:r>
        <w:rPr>
          <w:rFonts w:ascii="ArialMT" w:hAnsi="ArialMT" w:cs="ArialMT"/>
          <w:color w:val="000000"/>
          <w:sz w:val="20"/>
          <w:szCs w:val="20"/>
        </w:rPr>
        <w:t xml:space="preserve"> et ses encadrants, un protocole de test reproductible et adapté </w:t>
      </w:r>
      <w:r w:rsidR="004265F1">
        <w:rPr>
          <w:rFonts w:ascii="ArialMT" w:hAnsi="ArialMT" w:cs="ArialMT"/>
          <w:color w:val="000000"/>
          <w:sz w:val="20"/>
          <w:szCs w:val="20"/>
        </w:rPr>
        <w:t>à tout public (scolaire et non scolaire)</w:t>
      </w:r>
      <w:r>
        <w:rPr>
          <w:rFonts w:ascii="ArialMT" w:hAnsi="ArialMT" w:cs="ArialMT"/>
          <w:color w:val="000000"/>
          <w:sz w:val="20"/>
          <w:szCs w:val="20"/>
        </w:rPr>
        <w:t xml:space="preserve"> utilisant deux types d’</w:t>
      </w:r>
      <w:proofErr w:type="spellStart"/>
      <w:r>
        <w:rPr>
          <w:rFonts w:ascii="ArialMT" w:hAnsi="ArialMT" w:cs="ArialMT"/>
          <w:color w:val="000000"/>
          <w:sz w:val="20"/>
          <w:szCs w:val="20"/>
        </w:rPr>
        <w:t>eye</w:t>
      </w:r>
      <w:proofErr w:type="spellEnd"/>
      <w:r>
        <w:rPr>
          <w:rFonts w:ascii="ArialMT" w:hAnsi="ArialMT" w:cs="ArialMT"/>
          <w:color w:val="000000"/>
          <w:sz w:val="20"/>
          <w:szCs w:val="20"/>
        </w:rPr>
        <w:t xml:space="preserve">-trackers : l’un fixe et spécifique pour les écrans informatiques et le second sous forme de lunettes pour pouvoir évaluer l’attention des utilisateurs dans le cadre d’un cours sans utilisation de moyen informatique. Le doctorant devra tout d’abord déterminer les indices visuels de l’attention d’un utilisateur dans les différents scénarios afin de pouvoir les modéliser et d’extraire des mesures objectives de l’impact de l’utilisation du numérique dans l’enseignement scolaire. Dans un second temps, les mesures objectives réalisées seront intégrées à un outil d’analyse </w:t>
      </w:r>
      <w:proofErr w:type="spellStart"/>
      <w:r>
        <w:rPr>
          <w:rFonts w:ascii="ArialMT" w:hAnsi="ArialMT" w:cs="ArialMT"/>
          <w:color w:val="000000"/>
          <w:sz w:val="20"/>
          <w:szCs w:val="20"/>
        </w:rPr>
        <w:t>semiautomatisé</w:t>
      </w:r>
      <w:proofErr w:type="spellEnd"/>
      <w:r>
        <w:rPr>
          <w:rFonts w:ascii="ArialMT" w:hAnsi="ArialMT" w:cs="ArialMT"/>
          <w:color w:val="000000"/>
          <w:sz w:val="20"/>
          <w:szCs w:val="20"/>
        </w:rPr>
        <w:t xml:space="preserve"> permettant à un enseignant de connaitre les phases d’attention et d’inattention des </w:t>
      </w:r>
      <w:r w:rsidR="004265F1">
        <w:rPr>
          <w:rFonts w:ascii="ArialMT" w:hAnsi="ArialMT" w:cs="ArialMT"/>
          <w:color w:val="000000"/>
          <w:sz w:val="20"/>
          <w:szCs w:val="20"/>
        </w:rPr>
        <w:t>utilisateurs</w:t>
      </w:r>
      <w:r>
        <w:rPr>
          <w:rFonts w:ascii="ArialMT" w:hAnsi="ArialMT" w:cs="ArialMT"/>
          <w:color w:val="000000"/>
          <w:sz w:val="20"/>
          <w:szCs w:val="20"/>
        </w:rPr>
        <w:t xml:space="preserve"> dans un contexte d’utilisation de l’outil informatique. Il pourra également être proposé une identification des tâches réalisées au sein du </w:t>
      </w:r>
      <w:proofErr w:type="spellStart"/>
      <w:r>
        <w:rPr>
          <w:rFonts w:ascii="ArialMT" w:hAnsi="ArialMT" w:cs="ArialMT"/>
          <w:color w:val="000000"/>
          <w:sz w:val="20"/>
          <w:szCs w:val="20"/>
        </w:rPr>
        <w:t>Serious</w:t>
      </w:r>
      <w:proofErr w:type="spellEnd"/>
      <w:r>
        <w:rPr>
          <w:rFonts w:ascii="ArialMT" w:hAnsi="ArialMT" w:cs="ArialMT"/>
          <w:color w:val="000000"/>
          <w:sz w:val="20"/>
          <w:szCs w:val="20"/>
        </w:rPr>
        <w:t xml:space="preserve"> Game par le biais de mesures psycho-visuelles.</w:t>
      </w:r>
    </w:p>
    <w:p w:rsidR="00FA083D" w:rsidRDefault="00FA083D" w:rsidP="00B70216">
      <w:pPr>
        <w:autoSpaceDE w:val="0"/>
        <w:autoSpaceDN w:val="0"/>
        <w:adjustRightInd w:val="0"/>
        <w:spacing w:after="0" w:line="240" w:lineRule="auto"/>
        <w:jc w:val="both"/>
        <w:rPr>
          <w:rFonts w:ascii="ArialMT" w:hAnsi="ArialMT" w:cs="ArialMT"/>
          <w:color w:val="000000"/>
          <w:sz w:val="20"/>
          <w:szCs w:val="20"/>
        </w:rPr>
      </w:pPr>
    </w:p>
    <w:p w:rsidR="00FA083D" w:rsidRPr="00FA083D" w:rsidRDefault="00FA083D" w:rsidP="00B70216">
      <w:pPr>
        <w:autoSpaceDE w:val="0"/>
        <w:autoSpaceDN w:val="0"/>
        <w:adjustRightInd w:val="0"/>
        <w:spacing w:after="0" w:line="240" w:lineRule="auto"/>
        <w:jc w:val="both"/>
        <w:rPr>
          <w:rFonts w:ascii="ArialMT" w:hAnsi="ArialMT" w:cs="ArialMT"/>
          <w:color w:val="000000"/>
          <w:sz w:val="20"/>
          <w:szCs w:val="20"/>
        </w:rPr>
      </w:pPr>
      <w:r>
        <w:rPr>
          <w:rFonts w:ascii="ArialMT" w:hAnsi="ArialMT" w:cs="ArialMT"/>
          <w:b/>
          <w:color w:val="000000"/>
          <w:sz w:val="20"/>
          <w:szCs w:val="20"/>
        </w:rPr>
        <w:t xml:space="preserve">Collaborations avec les laboratoires de l’Université de Poitiers : </w:t>
      </w:r>
      <w:r>
        <w:rPr>
          <w:rFonts w:ascii="ArialMT" w:hAnsi="ArialMT" w:cs="ArialMT"/>
          <w:color w:val="000000"/>
          <w:sz w:val="20"/>
          <w:szCs w:val="20"/>
        </w:rPr>
        <w:t xml:space="preserve">Au travers de l’action Nouvelles Technologies pour l’Apprentissage </w:t>
      </w:r>
      <w:proofErr w:type="spellStart"/>
      <w:r>
        <w:rPr>
          <w:rFonts w:ascii="ArialMT" w:hAnsi="ArialMT" w:cs="ArialMT"/>
          <w:color w:val="000000"/>
          <w:sz w:val="20"/>
          <w:szCs w:val="20"/>
        </w:rPr>
        <w:t>NoTA</w:t>
      </w:r>
      <w:proofErr w:type="spellEnd"/>
      <w:r>
        <w:rPr>
          <w:rFonts w:ascii="ArialMT" w:hAnsi="ArialMT" w:cs="ArialMT"/>
          <w:color w:val="000000"/>
          <w:sz w:val="20"/>
          <w:szCs w:val="20"/>
        </w:rPr>
        <w:t xml:space="preserve"> du thème e-éducation du CPER NUMERIC, le doctorant sera amené à échanger avec les collègues des autres laboratoires de l’Université de Poitiers en particulier avec les laboratoires </w:t>
      </w:r>
      <w:proofErr w:type="spellStart"/>
      <w:r>
        <w:rPr>
          <w:rFonts w:ascii="ArialMT" w:hAnsi="ArialMT" w:cs="ArialMT"/>
          <w:color w:val="000000"/>
          <w:sz w:val="20"/>
          <w:szCs w:val="20"/>
        </w:rPr>
        <w:t>Techné</w:t>
      </w:r>
      <w:proofErr w:type="spellEnd"/>
      <w:r>
        <w:rPr>
          <w:rFonts w:ascii="ArialMT" w:hAnsi="ArialMT" w:cs="ArialMT"/>
          <w:color w:val="000000"/>
          <w:sz w:val="20"/>
          <w:szCs w:val="20"/>
        </w:rPr>
        <w:t xml:space="preserve"> et </w:t>
      </w:r>
      <w:proofErr w:type="spellStart"/>
      <w:r>
        <w:rPr>
          <w:rFonts w:ascii="ArialMT" w:hAnsi="ArialMT" w:cs="ArialMT"/>
          <w:color w:val="000000"/>
          <w:sz w:val="20"/>
          <w:szCs w:val="20"/>
        </w:rPr>
        <w:t>Cerca</w:t>
      </w:r>
      <w:proofErr w:type="spellEnd"/>
      <w:r>
        <w:rPr>
          <w:rFonts w:ascii="ArialMT" w:hAnsi="ArialMT" w:cs="ArialMT"/>
          <w:color w:val="000000"/>
          <w:sz w:val="20"/>
          <w:szCs w:val="20"/>
        </w:rPr>
        <w:t xml:space="preserve"> sur le design d’une expérimentation scolaire et sur l’analyse des résultats en terme sociologiques pour compléter son étude informatique. </w:t>
      </w:r>
    </w:p>
    <w:p w:rsidR="00B70216" w:rsidRDefault="00B70216" w:rsidP="00B70216">
      <w:pPr>
        <w:autoSpaceDE w:val="0"/>
        <w:autoSpaceDN w:val="0"/>
        <w:adjustRightInd w:val="0"/>
        <w:spacing w:after="0" w:line="240" w:lineRule="auto"/>
        <w:jc w:val="both"/>
        <w:rPr>
          <w:rFonts w:ascii="ArialMT" w:hAnsi="ArialMT" w:cs="ArialMT"/>
          <w:color w:val="000000"/>
          <w:sz w:val="20"/>
          <w:szCs w:val="20"/>
        </w:rPr>
      </w:pPr>
    </w:p>
    <w:p w:rsidR="00B70216" w:rsidRDefault="00B70216" w:rsidP="00B70216">
      <w:pPr>
        <w:autoSpaceDE w:val="0"/>
        <w:autoSpaceDN w:val="0"/>
        <w:adjustRightInd w:val="0"/>
        <w:spacing w:after="0" w:line="240" w:lineRule="auto"/>
        <w:jc w:val="both"/>
        <w:rPr>
          <w:rFonts w:ascii="Calibri" w:hAnsi="Calibri" w:cs="Calibri"/>
          <w:color w:val="000000"/>
        </w:rPr>
      </w:pPr>
      <w:r>
        <w:rPr>
          <w:rFonts w:ascii="Calibri-Bold" w:hAnsi="Calibri-Bold" w:cs="Calibri-Bold"/>
          <w:b/>
          <w:bCs/>
          <w:color w:val="000000"/>
        </w:rPr>
        <w:t xml:space="preserve">Compétences attendues : </w:t>
      </w:r>
      <w:r>
        <w:rPr>
          <w:rFonts w:ascii="Calibri" w:hAnsi="Calibri" w:cs="Calibri"/>
          <w:color w:val="000000"/>
        </w:rPr>
        <w:t>Programmation en C, C++</w:t>
      </w:r>
      <w:r w:rsidR="000C278E">
        <w:rPr>
          <w:rFonts w:ascii="Calibri" w:hAnsi="Calibri" w:cs="Calibri"/>
          <w:color w:val="000000"/>
        </w:rPr>
        <w:t>, potentiellement</w:t>
      </w:r>
      <w:r>
        <w:rPr>
          <w:rFonts w:ascii="Calibri" w:hAnsi="Calibri" w:cs="Calibri"/>
          <w:color w:val="000000"/>
        </w:rPr>
        <w:t xml:space="preserve"> connaissances du traitement d’image (librairie </w:t>
      </w:r>
      <w:proofErr w:type="spellStart"/>
      <w:r>
        <w:rPr>
          <w:rFonts w:ascii="Calibri" w:hAnsi="Calibri" w:cs="Calibri"/>
          <w:color w:val="000000"/>
        </w:rPr>
        <w:t>OpenCV</w:t>
      </w:r>
      <w:proofErr w:type="spellEnd"/>
      <w:r>
        <w:rPr>
          <w:rFonts w:ascii="Calibri" w:hAnsi="Calibri" w:cs="Calibri"/>
          <w:color w:val="000000"/>
        </w:rPr>
        <w:t>)</w:t>
      </w:r>
      <w:r w:rsidR="000C278E">
        <w:rPr>
          <w:rFonts w:ascii="Calibri" w:hAnsi="Calibri" w:cs="Calibri"/>
          <w:color w:val="000000"/>
        </w:rPr>
        <w:t xml:space="preserve"> et en </w:t>
      </w:r>
      <w:proofErr w:type="spellStart"/>
      <w:r w:rsidR="000C278E">
        <w:rPr>
          <w:rFonts w:ascii="Calibri" w:hAnsi="Calibri" w:cs="Calibri"/>
          <w:color w:val="000000"/>
        </w:rPr>
        <w:t>eye-tracking</w:t>
      </w:r>
      <w:proofErr w:type="spellEnd"/>
      <w:r>
        <w:rPr>
          <w:rFonts w:ascii="Calibri" w:hAnsi="Calibri" w:cs="Calibri"/>
          <w:color w:val="000000"/>
        </w:rPr>
        <w:t>. Des compétences en génie logiciel et en statistiques seront un plus pour la candidature.</w:t>
      </w:r>
    </w:p>
    <w:p w:rsidR="00B70216" w:rsidRDefault="00B70216" w:rsidP="00B70216">
      <w:pPr>
        <w:autoSpaceDE w:val="0"/>
        <w:autoSpaceDN w:val="0"/>
        <w:adjustRightInd w:val="0"/>
        <w:spacing w:after="0" w:line="240" w:lineRule="auto"/>
        <w:jc w:val="both"/>
        <w:rPr>
          <w:rFonts w:ascii="Calibri-Bold" w:hAnsi="Calibri-Bold" w:cs="Calibri-Bold"/>
          <w:b/>
          <w:bCs/>
          <w:color w:val="000000"/>
        </w:rPr>
      </w:pPr>
    </w:p>
    <w:p w:rsidR="00B70216" w:rsidRDefault="00B70216" w:rsidP="00B70216">
      <w:pPr>
        <w:autoSpaceDE w:val="0"/>
        <w:autoSpaceDN w:val="0"/>
        <w:adjustRightInd w:val="0"/>
        <w:spacing w:after="0" w:line="240" w:lineRule="auto"/>
        <w:jc w:val="both"/>
        <w:rPr>
          <w:rFonts w:ascii="Calibri" w:hAnsi="Calibri" w:cs="Calibri"/>
          <w:color w:val="000000"/>
        </w:rPr>
      </w:pPr>
      <w:r>
        <w:rPr>
          <w:rFonts w:ascii="Calibri-Bold" w:hAnsi="Calibri-Bold" w:cs="Calibri-Bold"/>
          <w:b/>
          <w:bCs/>
          <w:color w:val="000000"/>
        </w:rPr>
        <w:t xml:space="preserve">Niveau </w:t>
      </w:r>
      <w:proofErr w:type="spellStart"/>
      <w:r>
        <w:rPr>
          <w:rFonts w:ascii="Calibri-Bold" w:hAnsi="Calibri-Bold" w:cs="Calibri-Bold"/>
          <w:b/>
          <w:bCs/>
          <w:color w:val="000000"/>
        </w:rPr>
        <w:t>éxigé</w:t>
      </w:r>
      <w:proofErr w:type="spellEnd"/>
      <w:r>
        <w:rPr>
          <w:rFonts w:ascii="Calibri-Bold" w:hAnsi="Calibri-Bold" w:cs="Calibri-Bold"/>
          <w:b/>
          <w:bCs/>
          <w:color w:val="000000"/>
        </w:rPr>
        <w:t xml:space="preserve"> : </w:t>
      </w:r>
      <w:r>
        <w:rPr>
          <w:rFonts w:ascii="Calibri" w:hAnsi="Calibri" w:cs="Calibri"/>
          <w:color w:val="000000"/>
        </w:rPr>
        <w:t>Master recherche en informatique</w:t>
      </w:r>
      <w:r w:rsidR="000C278E">
        <w:rPr>
          <w:rFonts w:ascii="Calibri" w:hAnsi="Calibri" w:cs="Calibri"/>
          <w:color w:val="000000"/>
        </w:rPr>
        <w:t>,</w:t>
      </w:r>
      <w:r>
        <w:rPr>
          <w:rFonts w:ascii="Calibri" w:hAnsi="Calibri" w:cs="Calibri"/>
          <w:color w:val="000000"/>
        </w:rPr>
        <w:t xml:space="preserve"> traitement d’image</w:t>
      </w:r>
      <w:r w:rsidR="000C278E">
        <w:rPr>
          <w:rFonts w:ascii="Calibri" w:hAnsi="Calibri" w:cs="Calibri"/>
          <w:color w:val="000000"/>
        </w:rPr>
        <w:t xml:space="preserve"> ou équivalent</w:t>
      </w:r>
      <w:bookmarkStart w:id="0" w:name="_GoBack"/>
      <w:bookmarkEnd w:id="0"/>
    </w:p>
    <w:p w:rsidR="00B70216" w:rsidRDefault="00B70216" w:rsidP="00B70216">
      <w:pPr>
        <w:autoSpaceDE w:val="0"/>
        <w:autoSpaceDN w:val="0"/>
        <w:adjustRightInd w:val="0"/>
        <w:spacing w:after="0" w:line="240" w:lineRule="auto"/>
        <w:jc w:val="both"/>
        <w:rPr>
          <w:rFonts w:ascii="Calibri-Bold" w:hAnsi="Calibri-Bold" w:cs="Calibri-Bold"/>
          <w:b/>
          <w:bCs/>
          <w:color w:val="000000"/>
        </w:rPr>
      </w:pPr>
    </w:p>
    <w:p w:rsidR="00B70216" w:rsidRDefault="00B70216" w:rsidP="00B70216">
      <w:pPr>
        <w:autoSpaceDE w:val="0"/>
        <w:autoSpaceDN w:val="0"/>
        <w:adjustRightInd w:val="0"/>
        <w:spacing w:after="0" w:line="240" w:lineRule="auto"/>
        <w:jc w:val="both"/>
        <w:rPr>
          <w:rFonts w:ascii="Calibri" w:hAnsi="Calibri" w:cs="Calibri"/>
          <w:color w:val="000000"/>
        </w:rPr>
      </w:pPr>
      <w:r>
        <w:rPr>
          <w:rFonts w:ascii="Calibri-Bold" w:hAnsi="Calibri-Bold" w:cs="Calibri-Bold"/>
          <w:b/>
          <w:bCs/>
          <w:color w:val="000000"/>
        </w:rPr>
        <w:t xml:space="preserve">Contact à qui les candidatures doivent être envoyées (par e-mail) : </w:t>
      </w:r>
      <w:r>
        <w:rPr>
          <w:rFonts w:ascii="Calibri" w:hAnsi="Calibri" w:cs="Calibri"/>
          <w:color w:val="000000"/>
        </w:rPr>
        <w:t>François LECELLIER</w:t>
      </w:r>
      <w:r w:rsidR="00FA083D">
        <w:rPr>
          <w:rFonts w:ascii="Calibri" w:hAnsi="Calibri" w:cs="Calibri"/>
          <w:color w:val="000000"/>
        </w:rPr>
        <w:t xml:space="preserve"> </w:t>
      </w:r>
      <w:r>
        <w:rPr>
          <w:rFonts w:ascii="Calibri" w:hAnsi="Calibri" w:cs="Calibri"/>
          <w:color w:val="000000"/>
        </w:rPr>
        <w:t>(</w:t>
      </w:r>
      <w:r>
        <w:rPr>
          <w:rFonts w:ascii="Calibri" w:hAnsi="Calibri" w:cs="Calibri"/>
          <w:color w:val="0000FF"/>
        </w:rPr>
        <w:t>francois.lecellier@univ-poitiers.fr</w:t>
      </w:r>
      <w:r>
        <w:rPr>
          <w:rFonts w:ascii="Calibri" w:hAnsi="Calibri" w:cs="Calibri"/>
          <w:color w:val="000000"/>
        </w:rPr>
        <w:t>)</w:t>
      </w:r>
    </w:p>
    <w:p w:rsidR="00B70216" w:rsidRDefault="00B70216" w:rsidP="00B70216">
      <w:pPr>
        <w:autoSpaceDE w:val="0"/>
        <w:autoSpaceDN w:val="0"/>
        <w:adjustRightInd w:val="0"/>
        <w:spacing w:after="0" w:line="240" w:lineRule="auto"/>
        <w:jc w:val="both"/>
        <w:rPr>
          <w:rFonts w:ascii="Calibri-Bold" w:hAnsi="Calibri-Bold" w:cs="Calibri-Bold"/>
          <w:b/>
          <w:bCs/>
          <w:color w:val="000000"/>
        </w:rPr>
      </w:pPr>
    </w:p>
    <w:p w:rsidR="00B70216" w:rsidRDefault="00B70216" w:rsidP="00B70216">
      <w:pPr>
        <w:autoSpaceDE w:val="0"/>
        <w:autoSpaceDN w:val="0"/>
        <w:adjustRightInd w:val="0"/>
        <w:spacing w:after="0" w:line="240" w:lineRule="auto"/>
        <w:jc w:val="both"/>
        <w:rPr>
          <w:rFonts w:ascii="Calibri-Bold" w:hAnsi="Calibri-Bold" w:cs="Calibri-Bold"/>
          <w:b/>
          <w:bCs/>
          <w:color w:val="000000"/>
        </w:rPr>
      </w:pPr>
      <w:r>
        <w:rPr>
          <w:rFonts w:ascii="Calibri-Bold" w:hAnsi="Calibri-Bold" w:cs="Calibri-Bold"/>
          <w:b/>
          <w:bCs/>
          <w:color w:val="000000"/>
        </w:rPr>
        <w:t>Bibliographie :</w:t>
      </w:r>
    </w:p>
    <w:p w:rsidR="00B70216" w:rsidRDefault="00B70216" w:rsidP="00B70216">
      <w:pPr>
        <w:autoSpaceDE w:val="0"/>
        <w:autoSpaceDN w:val="0"/>
        <w:adjustRightInd w:val="0"/>
        <w:spacing w:after="0" w:line="240" w:lineRule="auto"/>
        <w:jc w:val="both"/>
        <w:rPr>
          <w:rFonts w:ascii="ArialMT" w:hAnsi="ArialMT" w:cs="ArialMT"/>
          <w:color w:val="222222"/>
          <w:sz w:val="20"/>
          <w:szCs w:val="20"/>
        </w:rPr>
      </w:pPr>
      <w:r>
        <w:rPr>
          <w:rFonts w:ascii="Calibri" w:hAnsi="Calibri" w:cs="Calibri"/>
          <w:color w:val="000000"/>
        </w:rPr>
        <w:t xml:space="preserve">[1] </w:t>
      </w:r>
      <w:proofErr w:type="spellStart"/>
      <w:r>
        <w:rPr>
          <w:rFonts w:ascii="ArialMT" w:hAnsi="ArialMT" w:cs="ArialMT"/>
          <w:color w:val="222222"/>
          <w:sz w:val="20"/>
          <w:szCs w:val="20"/>
        </w:rPr>
        <w:t>Alkan</w:t>
      </w:r>
      <w:proofErr w:type="spellEnd"/>
      <w:r>
        <w:rPr>
          <w:rFonts w:ascii="ArialMT" w:hAnsi="ArialMT" w:cs="ArialMT"/>
          <w:color w:val="222222"/>
          <w:sz w:val="20"/>
          <w:szCs w:val="20"/>
        </w:rPr>
        <w:t xml:space="preserve">, S., &amp; </w:t>
      </w:r>
      <w:proofErr w:type="spellStart"/>
      <w:r>
        <w:rPr>
          <w:rFonts w:ascii="ArialMT" w:hAnsi="ArialMT" w:cs="ArialMT"/>
          <w:color w:val="222222"/>
          <w:sz w:val="20"/>
          <w:szCs w:val="20"/>
        </w:rPr>
        <w:t>Cagiltay</w:t>
      </w:r>
      <w:proofErr w:type="spellEnd"/>
      <w:r>
        <w:rPr>
          <w:rFonts w:ascii="ArialMT" w:hAnsi="ArialMT" w:cs="ArialMT"/>
          <w:color w:val="222222"/>
          <w:sz w:val="20"/>
          <w:szCs w:val="20"/>
        </w:rPr>
        <w:t xml:space="preserve">, K. (2007). </w:t>
      </w:r>
      <w:proofErr w:type="spellStart"/>
      <w:r>
        <w:rPr>
          <w:rFonts w:ascii="ArialMT" w:hAnsi="ArialMT" w:cs="ArialMT"/>
          <w:color w:val="222222"/>
          <w:sz w:val="20"/>
          <w:szCs w:val="20"/>
        </w:rPr>
        <w:t>Studying</w:t>
      </w:r>
      <w:proofErr w:type="spellEnd"/>
      <w:r>
        <w:rPr>
          <w:rFonts w:ascii="ArialMT" w:hAnsi="ArialMT" w:cs="ArialMT"/>
          <w:color w:val="222222"/>
          <w:sz w:val="20"/>
          <w:szCs w:val="20"/>
        </w:rPr>
        <w:t xml:space="preserve"> computer </w:t>
      </w:r>
      <w:proofErr w:type="spellStart"/>
      <w:r>
        <w:rPr>
          <w:rFonts w:ascii="ArialMT" w:hAnsi="ArialMT" w:cs="ArialMT"/>
          <w:color w:val="222222"/>
          <w:sz w:val="20"/>
          <w:szCs w:val="20"/>
        </w:rPr>
        <w:t>game</w:t>
      </w:r>
      <w:proofErr w:type="spellEnd"/>
      <w:r>
        <w:rPr>
          <w:rFonts w:ascii="ArialMT" w:hAnsi="ArialMT" w:cs="ArialMT"/>
          <w:color w:val="222222"/>
          <w:sz w:val="20"/>
          <w:szCs w:val="20"/>
        </w:rPr>
        <w:t xml:space="preserve"> </w:t>
      </w:r>
      <w:proofErr w:type="spellStart"/>
      <w:r>
        <w:rPr>
          <w:rFonts w:ascii="ArialMT" w:hAnsi="ArialMT" w:cs="ArialMT"/>
          <w:color w:val="222222"/>
          <w:sz w:val="20"/>
          <w:szCs w:val="20"/>
        </w:rPr>
        <w:t>learning</w:t>
      </w:r>
      <w:proofErr w:type="spellEnd"/>
      <w:r>
        <w:rPr>
          <w:rFonts w:ascii="ArialMT" w:hAnsi="ArialMT" w:cs="ArialMT"/>
          <w:color w:val="222222"/>
          <w:sz w:val="20"/>
          <w:szCs w:val="20"/>
        </w:rPr>
        <w:t xml:space="preserve"> </w:t>
      </w:r>
      <w:proofErr w:type="spellStart"/>
      <w:r>
        <w:rPr>
          <w:rFonts w:ascii="ArialMT" w:hAnsi="ArialMT" w:cs="ArialMT"/>
          <w:color w:val="222222"/>
          <w:sz w:val="20"/>
          <w:szCs w:val="20"/>
        </w:rPr>
        <w:t>experience</w:t>
      </w:r>
      <w:proofErr w:type="spellEnd"/>
      <w:r>
        <w:rPr>
          <w:rFonts w:ascii="ArialMT" w:hAnsi="ArialMT" w:cs="ArialMT"/>
          <w:color w:val="222222"/>
          <w:sz w:val="20"/>
          <w:szCs w:val="20"/>
        </w:rPr>
        <w:t xml:space="preserve"> </w:t>
      </w:r>
      <w:proofErr w:type="spellStart"/>
      <w:r>
        <w:rPr>
          <w:rFonts w:ascii="ArialMT" w:hAnsi="ArialMT" w:cs="ArialMT"/>
          <w:color w:val="222222"/>
          <w:sz w:val="20"/>
          <w:szCs w:val="20"/>
        </w:rPr>
        <w:t>through</w:t>
      </w:r>
      <w:proofErr w:type="spellEnd"/>
      <w:r>
        <w:rPr>
          <w:rFonts w:ascii="ArialMT" w:hAnsi="ArialMT" w:cs="ArialMT"/>
          <w:color w:val="222222"/>
          <w:sz w:val="20"/>
          <w:szCs w:val="20"/>
        </w:rPr>
        <w:t xml:space="preserve"> </w:t>
      </w:r>
      <w:proofErr w:type="spellStart"/>
      <w:r>
        <w:rPr>
          <w:rFonts w:ascii="ArialMT" w:hAnsi="ArialMT" w:cs="ArialMT"/>
          <w:color w:val="222222"/>
          <w:sz w:val="20"/>
          <w:szCs w:val="20"/>
        </w:rPr>
        <w:t>eye</w:t>
      </w:r>
      <w:proofErr w:type="spellEnd"/>
    </w:p>
    <w:p w:rsidR="00B70216" w:rsidRDefault="00B70216" w:rsidP="00B70216">
      <w:pPr>
        <w:autoSpaceDE w:val="0"/>
        <w:autoSpaceDN w:val="0"/>
        <w:adjustRightInd w:val="0"/>
        <w:spacing w:after="0" w:line="240" w:lineRule="auto"/>
        <w:jc w:val="both"/>
        <w:rPr>
          <w:rFonts w:ascii="ArialMT" w:hAnsi="ArialMT" w:cs="ArialMT"/>
          <w:color w:val="222222"/>
          <w:sz w:val="20"/>
          <w:szCs w:val="20"/>
        </w:rPr>
      </w:pPr>
      <w:proofErr w:type="spellStart"/>
      <w:proofErr w:type="gramStart"/>
      <w:r>
        <w:rPr>
          <w:rFonts w:ascii="ArialMT" w:hAnsi="ArialMT" w:cs="ArialMT"/>
          <w:color w:val="222222"/>
          <w:sz w:val="20"/>
          <w:szCs w:val="20"/>
        </w:rPr>
        <w:t>tracking</w:t>
      </w:r>
      <w:proofErr w:type="spellEnd"/>
      <w:proofErr w:type="gramEnd"/>
      <w:r>
        <w:rPr>
          <w:rFonts w:ascii="ArialMT" w:hAnsi="ArialMT" w:cs="ArialMT"/>
          <w:color w:val="222222"/>
          <w:sz w:val="20"/>
          <w:szCs w:val="20"/>
        </w:rPr>
        <w:t xml:space="preserve">. </w:t>
      </w:r>
      <w:r>
        <w:rPr>
          <w:rFonts w:ascii="Arial-ItalicMT" w:hAnsi="Arial-ItalicMT" w:cs="Arial-ItalicMT"/>
          <w:i/>
          <w:iCs/>
          <w:color w:val="222222"/>
          <w:sz w:val="20"/>
          <w:szCs w:val="20"/>
        </w:rPr>
        <w:t xml:space="preserve">British Journal of </w:t>
      </w:r>
      <w:proofErr w:type="spellStart"/>
      <w:r>
        <w:rPr>
          <w:rFonts w:ascii="Arial-ItalicMT" w:hAnsi="Arial-ItalicMT" w:cs="Arial-ItalicMT"/>
          <w:i/>
          <w:iCs/>
          <w:color w:val="222222"/>
          <w:sz w:val="20"/>
          <w:szCs w:val="20"/>
        </w:rPr>
        <w:t>Educational</w:t>
      </w:r>
      <w:proofErr w:type="spellEnd"/>
      <w:r>
        <w:rPr>
          <w:rFonts w:ascii="Arial-ItalicMT" w:hAnsi="Arial-ItalicMT" w:cs="Arial-ItalicMT"/>
          <w:i/>
          <w:iCs/>
          <w:color w:val="222222"/>
          <w:sz w:val="20"/>
          <w:szCs w:val="20"/>
        </w:rPr>
        <w:t xml:space="preserve"> </w:t>
      </w:r>
      <w:proofErr w:type="spellStart"/>
      <w:r>
        <w:rPr>
          <w:rFonts w:ascii="Arial-ItalicMT" w:hAnsi="Arial-ItalicMT" w:cs="Arial-ItalicMT"/>
          <w:i/>
          <w:iCs/>
          <w:color w:val="222222"/>
          <w:sz w:val="20"/>
          <w:szCs w:val="20"/>
        </w:rPr>
        <w:t>Technology</w:t>
      </w:r>
      <w:proofErr w:type="spellEnd"/>
      <w:r>
        <w:rPr>
          <w:rFonts w:ascii="ArialMT" w:hAnsi="ArialMT" w:cs="ArialMT"/>
          <w:color w:val="222222"/>
          <w:sz w:val="20"/>
          <w:szCs w:val="20"/>
        </w:rPr>
        <w:t xml:space="preserve">, </w:t>
      </w:r>
      <w:r>
        <w:rPr>
          <w:rFonts w:ascii="Arial-ItalicMT" w:hAnsi="Arial-ItalicMT" w:cs="Arial-ItalicMT"/>
          <w:i/>
          <w:iCs/>
          <w:color w:val="222222"/>
          <w:sz w:val="20"/>
          <w:szCs w:val="20"/>
        </w:rPr>
        <w:t>38</w:t>
      </w:r>
      <w:r>
        <w:rPr>
          <w:rFonts w:ascii="ArialMT" w:hAnsi="ArialMT" w:cs="ArialMT"/>
          <w:color w:val="222222"/>
          <w:sz w:val="20"/>
          <w:szCs w:val="20"/>
        </w:rPr>
        <w:t>(3), 538-542.</w:t>
      </w:r>
    </w:p>
    <w:p w:rsidR="00B70216" w:rsidRDefault="00B70216" w:rsidP="00B70216">
      <w:pPr>
        <w:autoSpaceDE w:val="0"/>
        <w:autoSpaceDN w:val="0"/>
        <w:adjustRightInd w:val="0"/>
        <w:spacing w:after="0" w:line="240" w:lineRule="auto"/>
        <w:jc w:val="both"/>
        <w:rPr>
          <w:rFonts w:ascii="ArialMT" w:hAnsi="ArialMT" w:cs="ArialMT"/>
          <w:color w:val="222222"/>
          <w:sz w:val="20"/>
          <w:szCs w:val="20"/>
        </w:rPr>
      </w:pPr>
      <w:r>
        <w:rPr>
          <w:rFonts w:ascii="Calibri" w:hAnsi="Calibri" w:cs="Calibri"/>
          <w:color w:val="000000"/>
        </w:rPr>
        <w:t xml:space="preserve">[2] </w:t>
      </w:r>
      <w:proofErr w:type="spellStart"/>
      <w:r>
        <w:rPr>
          <w:rFonts w:ascii="ArialMT" w:hAnsi="ArialMT" w:cs="ArialMT"/>
          <w:color w:val="222222"/>
          <w:sz w:val="20"/>
          <w:szCs w:val="20"/>
        </w:rPr>
        <w:t>Nacke</w:t>
      </w:r>
      <w:proofErr w:type="spellEnd"/>
      <w:r>
        <w:rPr>
          <w:rFonts w:ascii="ArialMT" w:hAnsi="ArialMT" w:cs="ArialMT"/>
          <w:color w:val="222222"/>
          <w:sz w:val="20"/>
          <w:szCs w:val="20"/>
        </w:rPr>
        <w:t xml:space="preserve">, L. E., </w:t>
      </w:r>
      <w:proofErr w:type="spellStart"/>
      <w:r>
        <w:rPr>
          <w:rFonts w:ascii="ArialMT" w:hAnsi="ArialMT" w:cs="ArialMT"/>
          <w:color w:val="222222"/>
          <w:sz w:val="20"/>
          <w:szCs w:val="20"/>
        </w:rPr>
        <w:t>Drachen</w:t>
      </w:r>
      <w:proofErr w:type="spellEnd"/>
      <w:r>
        <w:rPr>
          <w:rFonts w:ascii="ArialMT" w:hAnsi="ArialMT" w:cs="ArialMT"/>
          <w:color w:val="222222"/>
          <w:sz w:val="20"/>
          <w:szCs w:val="20"/>
        </w:rPr>
        <w:t xml:space="preserve">, A., &amp; </w:t>
      </w:r>
      <w:proofErr w:type="spellStart"/>
      <w:r>
        <w:rPr>
          <w:rFonts w:ascii="ArialMT" w:hAnsi="ArialMT" w:cs="ArialMT"/>
          <w:color w:val="222222"/>
          <w:sz w:val="20"/>
          <w:szCs w:val="20"/>
        </w:rPr>
        <w:t>Göbel</w:t>
      </w:r>
      <w:proofErr w:type="spellEnd"/>
      <w:r>
        <w:rPr>
          <w:rFonts w:ascii="ArialMT" w:hAnsi="ArialMT" w:cs="ArialMT"/>
          <w:color w:val="222222"/>
          <w:sz w:val="20"/>
          <w:szCs w:val="20"/>
        </w:rPr>
        <w:t xml:space="preserve">, S. (2010). Methods for </w:t>
      </w:r>
      <w:proofErr w:type="spellStart"/>
      <w:r>
        <w:rPr>
          <w:rFonts w:ascii="ArialMT" w:hAnsi="ArialMT" w:cs="ArialMT"/>
          <w:color w:val="222222"/>
          <w:sz w:val="20"/>
          <w:szCs w:val="20"/>
        </w:rPr>
        <w:t>evaluating</w:t>
      </w:r>
      <w:proofErr w:type="spellEnd"/>
      <w:r>
        <w:rPr>
          <w:rFonts w:ascii="ArialMT" w:hAnsi="ArialMT" w:cs="ArialMT"/>
          <w:color w:val="222222"/>
          <w:sz w:val="20"/>
          <w:szCs w:val="20"/>
        </w:rPr>
        <w:t xml:space="preserve"> gameplay </w:t>
      </w:r>
      <w:proofErr w:type="spellStart"/>
      <w:r>
        <w:rPr>
          <w:rFonts w:ascii="ArialMT" w:hAnsi="ArialMT" w:cs="ArialMT"/>
          <w:color w:val="222222"/>
          <w:sz w:val="20"/>
          <w:szCs w:val="20"/>
        </w:rPr>
        <w:t>experience</w:t>
      </w:r>
      <w:proofErr w:type="spellEnd"/>
      <w:r>
        <w:rPr>
          <w:rFonts w:ascii="ArialMT" w:hAnsi="ArialMT" w:cs="ArialMT"/>
          <w:color w:val="222222"/>
          <w:sz w:val="20"/>
          <w:szCs w:val="20"/>
        </w:rPr>
        <w:t xml:space="preserve"> in a</w:t>
      </w:r>
    </w:p>
    <w:p w:rsidR="00B70216" w:rsidRDefault="00B70216" w:rsidP="00B70216">
      <w:pPr>
        <w:autoSpaceDE w:val="0"/>
        <w:autoSpaceDN w:val="0"/>
        <w:adjustRightInd w:val="0"/>
        <w:spacing w:after="0" w:line="240" w:lineRule="auto"/>
        <w:jc w:val="both"/>
        <w:rPr>
          <w:rFonts w:ascii="ArialMT" w:hAnsi="ArialMT" w:cs="ArialMT"/>
          <w:color w:val="222222"/>
          <w:sz w:val="20"/>
          <w:szCs w:val="20"/>
        </w:rPr>
      </w:pPr>
      <w:proofErr w:type="spellStart"/>
      <w:proofErr w:type="gramStart"/>
      <w:r>
        <w:rPr>
          <w:rFonts w:ascii="ArialMT" w:hAnsi="ArialMT" w:cs="ArialMT"/>
          <w:color w:val="222222"/>
          <w:sz w:val="20"/>
          <w:szCs w:val="20"/>
        </w:rPr>
        <w:t>serious</w:t>
      </w:r>
      <w:proofErr w:type="spellEnd"/>
      <w:proofErr w:type="gramEnd"/>
      <w:r>
        <w:rPr>
          <w:rFonts w:ascii="ArialMT" w:hAnsi="ArialMT" w:cs="ArialMT"/>
          <w:color w:val="222222"/>
          <w:sz w:val="20"/>
          <w:szCs w:val="20"/>
        </w:rPr>
        <w:t xml:space="preserve"> gaming </w:t>
      </w:r>
      <w:proofErr w:type="spellStart"/>
      <w:r>
        <w:rPr>
          <w:rFonts w:ascii="ArialMT" w:hAnsi="ArialMT" w:cs="ArialMT"/>
          <w:color w:val="222222"/>
          <w:sz w:val="20"/>
          <w:szCs w:val="20"/>
        </w:rPr>
        <w:t>context</w:t>
      </w:r>
      <w:proofErr w:type="spellEnd"/>
      <w:r>
        <w:rPr>
          <w:rFonts w:ascii="ArialMT" w:hAnsi="ArialMT" w:cs="ArialMT"/>
          <w:color w:val="222222"/>
          <w:sz w:val="20"/>
          <w:szCs w:val="20"/>
        </w:rPr>
        <w:t xml:space="preserve">. </w:t>
      </w:r>
      <w:r>
        <w:rPr>
          <w:rFonts w:ascii="Arial-ItalicMT" w:hAnsi="Arial-ItalicMT" w:cs="Arial-ItalicMT"/>
          <w:i/>
          <w:iCs/>
          <w:color w:val="222222"/>
          <w:sz w:val="20"/>
          <w:szCs w:val="20"/>
        </w:rPr>
        <w:t>International Journal of Computer Science in Sport</w:t>
      </w:r>
      <w:r>
        <w:rPr>
          <w:rFonts w:ascii="ArialMT" w:hAnsi="ArialMT" w:cs="ArialMT"/>
          <w:color w:val="222222"/>
          <w:sz w:val="20"/>
          <w:szCs w:val="20"/>
        </w:rPr>
        <w:t xml:space="preserve">, </w:t>
      </w:r>
      <w:r>
        <w:rPr>
          <w:rFonts w:ascii="Arial-ItalicMT" w:hAnsi="Arial-ItalicMT" w:cs="Arial-ItalicMT"/>
          <w:i/>
          <w:iCs/>
          <w:color w:val="222222"/>
          <w:sz w:val="20"/>
          <w:szCs w:val="20"/>
        </w:rPr>
        <w:t>9</w:t>
      </w:r>
      <w:r>
        <w:rPr>
          <w:rFonts w:ascii="ArialMT" w:hAnsi="ArialMT" w:cs="ArialMT"/>
          <w:color w:val="222222"/>
          <w:sz w:val="20"/>
          <w:szCs w:val="20"/>
        </w:rPr>
        <w:t>(2), 1-12.</w:t>
      </w:r>
    </w:p>
    <w:p w:rsidR="00B70216" w:rsidRDefault="00B70216" w:rsidP="00B70216">
      <w:pPr>
        <w:autoSpaceDE w:val="0"/>
        <w:autoSpaceDN w:val="0"/>
        <w:adjustRightInd w:val="0"/>
        <w:spacing w:after="0" w:line="240" w:lineRule="auto"/>
        <w:jc w:val="both"/>
        <w:rPr>
          <w:rFonts w:ascii="ArialMT" w:hAnsi="ArialMT" w:cs="ArialMT"/>
          <w:color w:val="222222"/>
          <w:sz w:val="20"/>
          <w:szCs w:val="20"/>
        </w:rPr>
      </w:pPr>
      <w:r>
        <w:rPr>
          <w:rFonts w:ascii="Calibri" w:hAnsi="Calibri" w:cs="Calibri"/>
          <w:color w:val="000000"/>
        </w:rPr>
        <w:t xml:space="preserve">[3] </w:t>
      </w:r>
      <w:proofErr w:type="spellStart"/>
      <w:r>
        <w:rPr>
          <w:rFonts w:ascii="ArialMT" w:hAnsi="ArialMT" w:cs="ArialMT"/>
          <w:color w:val="222222"/>
          <w:sz w:val="20"/>
          <w:szCs w:val="20"/>
        </w:rPr>
        <w:t>Kiili</w:t>
      </w:r>
      <w:proofErr w:type="spellEnd"/>
      <w:r>
        <w:rPr>
          <w:rFonts w:ascii="ArialMT" w:hAnsi="ArialMT" w:cs="ArialMT"/>
          <w:color w:val="222222"/>
          <w:sz w:val="20"/>
          <w:szCs w:val="20"/>
        </w:rPr>
        <w:t xml:space="preserve">, K., </w:t>
      </w:r>
      <w:proofErr w:type="spellStart"/>
      <w:r>
        <w:rPr>
          <w:rFonts w:ascii="ArialMT" w:hAnsi="ArialMT" w:cs="ArialMT"/>
          <w:color w:val="222222"/>
          <w:sz w:val="20"/>
          <w:szCs w:val="20"/>
        </w:rPr>
        <w:t>Ketamo</w:t>
      </w:r>
      <w:proofErr w:type="spellEnd"/>
      <w:r>
        <w:rPr>
          <w:rFonts w:ascii="ArialMT" w:hAnsi="ArialMT" w:cs="ArialMT"/>
          <w:color w:val="222222"/>
          <w:sz w:val="20"/>
          <w:szCs w:val="20"/>
        </w:rPr>
        <w:t xml:space="preserve">, H., &amp; </w:t>
      </w:r>
      <w:proofErr w:type="spellStart"/>
      <w:r>
        <w:rPr>
          <w:rFonts w:ascii="ArialMT" w:hAnsi="ArialMT" w:cs="ArialMT"/>
          <w:color w:val="222222"/>
          <w:sz w:val="20"/>
          <w:szCs w:val="20"/>
        </w:rPr>
        <w:t>Kickmeier</w:t>
      </w:r>
      <w:proofErr w:type="spellEnd"/>
      <w:r>
        <w:rPr>
          <w:rFonts w:ascii="ArialMT" w:hAnsi="ArialMT" w:cs="ArialMT"/>
          <w:color w:val="222222"/>
          <w:sz w:val="20"/>
          <w:szCs w:val="20"/>
        </w:rPr>
        <w:t xml:space="preserve">-Rust, M. D. (2014). </w:t>
      </w:r>
      <w:proofErr w:type="spellStart"/>
      <w:r>
        <w:rPr>
          <w:rFonts w:ascii="ArialMT" w:hAnsi="ArialMT" w:cs="ArialMT"/>
          <w:color w:val="222222"/>
          <w:sz w:val="20"/>
          <w:szCs w:val="20"/>
        </w:rPr>
        <w:t>Evaluating</w:t>
      </w:r>
      <w:proofErr w:type="spellEnd"/>
      <w:r>
        <w:rPr>
          <w:rFonts w:ascii="ArialMT" w:hAnsi="ArialMT" w:cs="ArialMT"/>
          <w:color w:val="222222"/>
          <w:sz w:val="20"/>
          <w:szCs w:val="20"/>
        </w:rPr>
        <w:t xml:space="preserve"> the </w:t>
      </w:r>
      <w:proofErr w:type="spellStart"/>
      <w:r>
        <w:rPr>
          <w:rFonts w:ascii="ArialMT" w:hAnsi="ArialMT" w:cs="ArialMT"/>
          <w:color w:val="222222"/>
          <w:sz w:val="20"/>
          <w:szCs w:val="20"/>
        </w:rPr>
        <w:t>usefulness</w:t>
      </w:r>
      <w:proofErr w:type="spellEnd"/>
      <w:r>
        <w:rPr>
          <w:rFonts w:ascii="ArialMT" w:hAnsi="ArialMT" w:cs="ArialMT"/>
          <w:color w:val="222222"/>
          <w:sz w:val="20"/>
          <w:szCs w:val="20"/>
        </w:rPr>
        <w:t xml:space="preserve"> of Eye </w:t>
      </w:r>
      <w:proofErr w:type="spellStart"/>
      <w:r>
        <w:rPr>
          <w:rFonts w:ascii="ArialMT" w:hAnsi="ArialMT" w:cs="ArialMT"/>
          <w:color w:val="222222"/>
          <w:sz w:val="20"/>
          <w:szCs w:val="20"/>
        </w:rPr>
        <w:t>Tracking</w:t>
      </w:r>
      <w:proofErr w:type="spellEnd"/>
      <w:r>
        <w:rPr>
          <w:rFonts w:ascii="ArialMT" w:hAnsi="ArialMT" w:cs="ArialMT"/>
          <w:color w:val="222222"/>
          <w:sz w:val="20"/>
          <w:szCs w:val="20"/>
        </w:rPr>
        <w:t xml:space="preserve"> in</w:t>
      </w:r>
    </w:p>
    <w:p w:rsidR="009967DF" w:rsidRDefault="00B70216" w:rsidP="00B70216">
      <w:pPr>
        <w:jc w:val="both"/>
      </w:pPr>
      <w:r>
        <w:rPr>
          <w:rFonts w:ascii="ArialMT" w:hAnsi="ArialMT" w:cs="ArialMT"/>
          <w:color w:val="222222"/>
          <w:sz w:val="20"/>
          <w:szCs w:val="20"/>
        </w:rPr>
        <w:t>Game-</w:t>
      </w:r>
      <w:proofErr w:type="spellStart"/>
      <w:r>
        <w:rPr>
          <w:rFonts w:ascii="ArialMT" w:hAnsi="ArialMT" w:cs="ArialMT"/>
          <w:color w:val="222222"/>
          <w:sz w:val="20"/>
          <w:szCs w:val="20"/>
        </w:rPr>
        <w:t>based</w:t>
      </w:r>
      <w:proofErr w:type="spellEnd"/>
      <w:r>
        <w:rPr>
          <w:rFonts w:ascii="ArialMT" w:hAnsi="ArialMT" w:cs="ArialMT"/>
          <w:color w:val="222222"/>
          <w:sz w:val="20"/>
          <w:szCs w:val="20"/>
        </w:rPr>
        <w:t xml:space="preserve"> Learning. </w:t>
      </w:r>
      <w:r>
        <w:rPr>
          <w:rFonts w:ascii="Arial-ItalicMT" w:hAnsi="Arial-ItalicMT" w:cs="Arial-ItalicMT"/>
          <w:i/>
          <w:iCs/>
          <w:color w:val="222222"/>
          <w:sz w:val="20"/>
          <w:szCs w:val="20"/>
        </w:rPr>
        <w:t xml:space="preserve">International Journal of </w:t>
      </w:r>
      <w:proofErr w:type="spellStart"/>
      <w:r>
        <w:rPr>
          <w:rFonts w:ascii="Arial-ItalicMT" w:hAnsi="Arial-ItalicMT" w:cs="Arial-ItalicMT"/>
          <w:i/>
          <w:iCs/>
          <w:color w:val="222222"/>
          <w:sz w:val="20"/>
          <w:szCs w:val="20"/>
        </w:rPr>
        <w:t>Serious</w:t>
      </w:r>
      <w:proofErr w:type="spellEnd"/>
      <w:r>
        <w:rPr>
          <w:rFonts w:ascii="Arial-ItalicMT" w:hAnsi="Arial-ItalicMT" w:cs="Arial-ItalicMT"/>
          <w:i/>
          <w:iCs/>
          <w:color w:val="222222"/>
          <w:sz w:val="20"/>
          <w:szCs w:val="20"/>
        </w:rPr>
        <w:t xml:space="preserve"> Games</w:t>
      </w:r>
      <w:r>
        <w:rPr>
          <w:rFonts w:ascii="ArialMT" w:hAnsi="ArialMT" w:cs="ArialMT"/>
          <w:color w:val="222222"/>
          <w:sz w:val="20"/>
          <w:szCs w:val="20"/>
        </w:rPr>
        <w:t xml:space="preserve">, </w:t>
      </w:r>
      <w:r>
        <w:rPr>
          <w:rFonts w:ascii="Arial-ItalicMT" w:hAnsi="Arial-ItalicMT" w:cs="Arial-ItalicMT"/>
          <w:i/>
          <w:iCs/>
          <w:color w:val="222222"/>
          <w:sz w:val="20"/>
          <w:szCs w:val="20"/>
        </w:rPr>
        <w:t>1</w:t>
      </w:r>
      <w:r>
        <w:rPr>
          <w:rFonts w:ascii="ArialMT" w:hAnsi="ArialMT" w:cs="ArialMT"/>
          <w:color w:val="222222"/>
          <w:sz w:val="20"/>
          <w:szCs w:val="20"/>
        </w:rPr>
        <w:t>(2).</w:t>
      </w:r>
    </w:p>
    <w:sectPr w:rsidR="00996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16"/>
    <w:rsid w:val="000C278E"/>
    <w:rsid w:val="004265F1"/>
    <w:rsid w:val="009967DF"/>
    <w:rsid w:val="00B70216"/>
    <w:rsid w:val="00FA08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5A2C"/>
  <w15:chartTrackingRefBased/>
  <w15:docId w15:val="{86394B45-24C8-436B-9535-56E3968E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793</Words>
  <Characters>4364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dc:creator>
  <cp:keywords/>
  <dc:description/>
  <cp:lastModifiedBy>Francois</cp:lastModifiedBy>
  <cp:revision>3</cp:revision>
  <dcterms:created xsi:type="dcterms:W3CDTF">2018-06-04T09:22:00Z</dcterms:created>
  <dcterms:modified xsi:type="dcterms:W3CDTF">2018-11-20T18:55:00Z</dcterms:modified>
</cp:coreProperties>
</file>