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7B56" w:rsidRDefault="006F0693">
      <w:pPr>
        <w:spacing w:after="0"/>
        <w:ind w:right="14"/>
        <w:jc w:val="center"/>
      </w:pPr>
      <w:r>
        <w:rPr>
          <w:noProof/>
        </w:rPr>
        <w:drawing>
          <wp:anchor distT="0" distB="0" distL="114300" distR="114300" simplePos="0" relativeHeight="251658240" behindDoc="0" locked="0" layoutInCell="1" allowOverlap="0">
            <wp:simplePos x="0" y="0"/>
            <wp:positionH relativeFrom="page">
              <wp:posOffset>5720625</wp:posOffset>
            </wp:positionH>
            <wp:positionV relativeFrom="page">
              <wp:posOffset>133350</wp:posOffset>
            </wp:positionV>
            <wp:extent cx="1024128" cy="563880"/>
            <wp:effectExtent l="0" t="0" r="0" b="0"/>
            <wp:wrapTopAndBottom/>
            <wp:docPr id="7546" name="Picture 7546"/>
            <wp:cNvGraphicFramePr/>
            <a:graphic xmlns:a="http://schemas.openxmlformats.org/drawingml/2006/main">
              <a:graphicData uri="http://schemas.openxmlformats.org/drawingml/2006/picture">
                <pic:pic xmlns:pic="http://schemas.openxmlformats.org/drawingml/2006/picture">
                  <pic:nvPicPr>
                    <pic:cNvPr id="7546" name="Picture 7546"/>
                    <pic:cNvPicPr/>
                  </pic:nvPicPr>
                  <pic:blipFill>
                    <a:blip r:embed="rId5"/>
                    <a:stretch>
                      <a:fillRect/>
                    </a:stretch>
                  </pic:blipFill>
                  <pic:spPr>
                    <a:xfrm>
                      <a:off x="0" y="0"/>
                      <a:ext cx="1024128" cy="563880"/>
                    </a:xfrm>
                    <a:prstGeom prst="rect">
                      <a:avLst/>
                    </a:prstGeom>
                  </pic:spPr>
                </pic:pic>
              </a:graphicData>
            </a:graphic>
          </wp:anchor>
        </w:drawing>
      </w:r>
      <w:r>
        <w:rPr>
          <w:rFonts w:ascii="Arial" w:eastAsia="Arial" w:hAnsi="Arial" w:cs="Arial"/>
          <w:b/>
          <w:sz w:val="34"/>
        </w:rPr>
        <w:t>OFFRE</w:t>
      </w:r>
      <w:r w:rsidR="00C558B2">
        <w:rPr>
          <w:rFonts w:ascii="Arial" w:eastAsia="Arial" w:hAnsi="Arial" w:cs="Arial"/>
          <w:b/>
          <w:sz w:val="34"/>
        </w:rPr>
        <w:t xml:space="preserve"> </w:t>
      </w:r>
      <w:r>
        <w:rPr>
          <w:rFonts w:ascii="Arial" w:eastAsia="Arial" w:hAnsi="Arial" w:cs="Arial"/>
          <w:b/>
          <w:sz w:val="34"/>
        </w:rPr>
        <w:t>DE</w:t>
      </w:r>
      <w:r w:rsidR="00C558B2">
        <w:rPr>
          <w:rFonts w:ascii="Arial" w:eastAsia="Arial" w:hAnsi="Arial" w:cs="Arial"/>
          <w:b/>
          <w:sz w:val="34"/>
        </w:rPr>
        <w:t xml:space="preserve"> </w:t>
      </w:r>
      <w:r w:rsidR="00633E62">
        <w:rPr>
          <w:rFonts w:ascii="Arial" w:eastAsia="Arial" w:hAnsi="Arial" w:cs="Arial"/>
          <w:b/>
          <w:sz w:val="34"/>
        </w:rPr>
        <w:t>THESE DE DOCTORAT</w:t>
      </w:r>
    </w:p>
    <w:p w:rsidR="009D4CEE" w:rsidRDefault="009D4CEE" w:rsidP="009D4CEE">
      <w:pPr>
        <w:spacing w:after="47"/>
        <w:ind w:left="54"/>
        <w:jc w:val="center"/>
        <w:rPr>
          <w:rFonts w:ascii="Arial" w:eastAsia="Arial" w:hAnsi="Arial" w:cs="Arial"/>
          <w:b/>
        </w:rPr>
      </w:pPr>
    </w:p>
    <w:p w:rsidR="001A7B56" w:rsidRDefault="00633E62" w:rsidP="009D4CEE">
      <w:pPr>
        <w:spacing w:after="47"/>
        <w:ind w:left="54"/>
        <w:jc w:val="center"/>
        <w:rPr>
          <w:rFonts w:ascii="Arial" w:eastAsia="Arial" w:hAnsi="Arial" w:cs="Arial"/>
          <w:b/>
        </w:rPr>
      </w:pPr>
      <w:r>
        <w:rPr>
          <w:rFonts w:ascii="Arial" w:eastAsia="Arial" w:hAnsi="Arial" w:cs="Arial"/>
          <w:b/>
        </w:rPr>
        <w:t>Psychologie</w:t>
      </w:r>
    </w:p>
    <w:p w:rsidR="009D4CEE" w:rsidRDefault="009D4CEE" w:rsidP="009D4CEE">
      <w:pPr>
        <w:spacing w:after="47"/>
        <w:ind w:left="54"/>
        <w:jc w:val="center"/>
      </w:pPr>
    </w:p>
    <w:p w:rsidR="009D4CEE" w:rsidRDefault="009D4CEE" w:rsidP="009D4CEE">
      <w:pPr>
        <w:spacing w:after="47"/>
        <w:ind w:left="54"/>
        <w:jc w:val="center"/>
      </w:pPr>
    </w:p>
    <w:tbl>
      <w:tblPr>
        <w:tblStyle w:val="TableGrid"/>
        <w:tblW w:w="9840" w:type="dxa"/>
        <w:tblInd w:w="-690" w:type="dxa"/>
        <w:tblCellMar>
          <w:top w:w="160" w:type="dxa"/>
          <w:left w:w="99" w:type="dxa"/>
          <w:right w:w="96" w:type="dxa"/>
        </w:tblCellMar>
        <w:tblLook w:val="04A0" w:firstRow="1" w:lastRow="0" w:firstColumn="1" w:lastColumn="0" w:noHBand="0" w:noVBand="1"/>
      </w:tblPr>
      <w:tblGrid>
        <w:gridCol w:w="1820"/>
        <w:gridCol w:w="8020"/>
      </w:tblGrid>
      <w:tr w:rsidR="001A7B56">
        <w:trPr>
          <w:trHeight w:val="480"/>
        </w:trPr>
        <w:tc>
          <w:tcPr>
            <w:tcW w:w="1820" w:type="dxa"/>
            <w:tcBorders>
              <w:top w:val="single" w:sz="8" w:space="0" w:color="000000"/>
              <w:left w:val="single" w:sz="8" w:space="0" w:color="000000"/>
              <w:bottom w:val="single" w:sz="8" w:space="0" w:color="000000"/>
              <w:right w:val="single" w:sz="8" w:space="0" w:color="000000"/>
            </w:tcBorders>
          </w:tcPr>
          <w:p w:rsidR="001A7B56" w:rsidRDefault="006F0693">
            <w:r>
              <w:rPr>
                <w:rFonts w:ascii="Arial" w:eastAsia="Arial" w:hAnsi="Arial" w:cs="Arial"/>
              </w:rPr>
              <w:t>Laboratoire</w:t>
            </w:r>
          </w:p>
        </w:tc>
        <w:tc>
          <w:tcPr>
            <w:tcW w:w="8020" w:type="dxa"/>
            <w:tcBorders>
              <w:top w:val="single" w:sz="8" w:space="0" w:color="000000"/>
              <w:left w:val="single" w:sz="8" w:space="0" w:color="000000"/>
              <w:bottom w:val="single" w:sz="8" w:space="0" w:color="000000"/>
              <w:right w:val="single" w:sz="8" w:space="0" w:color="000000"/>
            </w:tcBorders>
          </w:tcPr>
          <w:p w:rsidR="001A7B56" w:rsidRDefault="006F0693">
            <w:pPr>
              <w:ind w:left="10"/>
            </w:pPr>
            <w:r>
              <w:rPr>
                <w:rFonts w:ascii="Arial" w:eastAsia="Arial" w:hAnsi="Arial" w:cs="Arial"/>
              </w:rPr>
              <w:t>Grhapes</w:t>
            </w:r>
            <w:r w:rsidR="003513B1">
              <w:rPr>
                <w:rFonts w:ascii="Arial" w:eastAsia="Arial" w:hAnsi="Arial" w:cs="Arial"/>
              </w:rPr>
              <w:t>,</w:t>
            </w:r>
            <w:r>
              <w:rPr>
                <w:rFonts w:ascii="Arial" w:eastAsia="Arial" w:hAnsi="Arial" w:cs="Arial"/>
              </w:rPr>
              <w:t xml:space="preserve"> INSEI</w:t>
            </w:r>
          </w:p>
        </w:tc>
      </w:tr>
      <w:tr w:rsidR="001A7B56">
        <w:trPr>
          <w:trHeight w:val="480"/>
        </w:trPr>
        <w:tc>
          <w:tcPr>
            <w:tcW w:w="1820" w:type="dxa"/>
            <w:tcBorders>
              <w:top w:val="single" w:sz="8" w:space="0" w:color="000000"/>
              <w:left w:val="single" w:sz="8" w:space="0" w:color="000000"/>
              <w:bottom w:val="single" w:sz="8" w:space="0" w:color="000000"/>
              <w:right w:val="single" w:sz="8" w:space="0" w:color="000000"/>
            </w:tcBorders>
            <w:vAlign w:val="center"/>
          </w:tcPr>
          <w:p w:rsidR="001A7B56" w:rsidRDefault="006F0693">
            <w:r>
              <w:rPr>
                <w:rFonts w:ascii="Arial" w:eastAsia="Arial" w:hAnsi="Arial" w:cs="Arial"/>
              </w:rPr>
              <w:t>Adresse</w:t>
            </w:r>
          </w:p>
        </w:tc>
        <w:tc>
          <w:tcPr>
            <w:tcW w:w="8020" w:type="dxa"/>
            <w:tcBorders>
              <w:top w:val="single" w:sz="8" w:space="0" w:color="000000"/>
              <w:left w:val="single" w:sz="8" w:space="0" w:color="000000"/>
              <w:bottom w:val="single" w:sz="8" w:space="0" w:color="000000"/>
              <w:right w:val="single" w:sz="8" w:space="0" w:color="000000"/>
            </w:tcBorders>
            <w:vAlign w:val="center"/>
          </w:tcPr>
          <w:p w:rsidR="001A7B56" w:rsidRDefault="006F0693">
            <w:pPr>
              <w:ind w:left="10"/>
            </w:pPr>
            <w:r>
              <w:rPr>
                <w:rFonts w:ascii="Arial" w:eastAsia="Arial" w:hAnsi="Arial" w:cs="Arial"/>
              </w:rPr>
              <w:t>58-60 Av. des Landes, 92150 Suresnes</w:t>
            </w:r>
          </w:p>
        </w:tc>
      </w:tr>
      <w:tr w:rsidR="001A7B56">
        <w:trPr>
          <w:trHeight w:val="480"/>
        </w:trPr>
        <w:tc>
          <w:tcPr>
            <w:tcW w:w="1820" w:type="dxa"/>
            <w:tcBorders>
              <w:top w:val="single" w:sz="8" w:space="0" w:color="000000"/>
              <w:left w:val="single" w:sz="8" w:space="0" w:color="000000"/>
              <w:bottom w:val="single" w:sz="8" w:space="0" w:color="000000"/>
              <w:right w:val="single" w:sz="8" w:space="0" w:color="000000"/>
            </w:tcBorders>
            <w:vAlign w:val="center"/>
          </w:tcPr>
          <w:p w:rsidR="001A7B56" w:rsidRDefault="006F0693">
            <w:r>
              <w:rPr>
                <w:rFonts w:ascii="Arial" w:eastAsia="Arial" w:hAnsi="Arial" w:cs="Arial"/>
              </w:rPr>
              <w:t>Responsable</w:t>
            </w:r>
          </w:p>
        </w:tc>
        <w:tc>
          <w:tcPr>
            <w:tcW w:w="8020" w:type="dxa"/>
            <w:tcBorders>
              <w:top w:val="single" w:sz="8" w:space="0" w:color="000000"/>
              <w:left w:val="single" w:sz="8" w:space="0" w:color="000000"/>
              <w:bottom w:val="single" w:sz="8" w:space="0" w:color="000000"/>
              <w:right w:val="single" w:sz="8" w:space="0" w:color="000000"/>
            </w:tcBorders>
            <w:vAlign w:val="center"/>
          </w:tcPr>
          <w:p w:rsidR="001A7B56" w:rsidRDefault="006F0693">
            <w:pPr>
              <w:ind w:left="10"/>
            </w:pPr>
            <w:r>
              <w:rPr>
                <w:rFonts w:ascii="Arial" w:eastAsia="Arial" w:hAnsi="Arial" w:cs="Arial"/>
              </w:rPr>
              <w:t>Pr. Sophie Sakka</w:t>
            </w:r>
            <w:r w:rsidR="00633E62">
              <w:rPr>
                <w:rFonts w:ascii="Arial" w:eastAsia="Arial" w:hAnsi="Arial" w:cs="Arial"/>
              </w:rPr>
              <w:t xml:space="preserve">, Dr. </w:t>
            </w:r>
            <w:r w:rsidR="00FF4EE4">
              <w:rPr>
                <w:rFonts w:ascii="Arial" w:eastAsia="Arial" w:hAnsi="Arial" w:cs="Arial"/>
              </w:rPr>
              <w:t>Éric</w:t>
            </w:r>
            <w:r w:rsidR="00633E62">
              <w:rPr>
                <w:rFonts w:ascii="Arial" w:eastAsia="Arial" w:hAnsi="Arial" w:cs="Arial"/>
              </w:rPr>
              <w:t xml:space="preserve"> Meyer</w:t>
            </w:r>
          </w:p>
        </w:tc>
      </w:tr>
      <w:tr w:rsidR="001A7B56" w:rsidTr="009403F8">
        <w:trPr>
          <w:trHeight w:val="504"/>
        </w:trPr>
        <w:tc>
          <w:tcPr>
            <w:tcW w:w="1820" w:type="dxa"/>
            <w:tcBorders>
              <w:top w:val="single" w:sz="8" w:space="0" w:color="000000"/>
              <w:left w:val="single" w:sz="8" w:space="0" w:color="000000"/>
              <w:bottom w:val="single" w:sz="8" w:space="0" w:color="000000"/>
              <w:right w:val="single" w:sz="8" w:space="0" w:color="000000"/>
            </w:tcBorders>
          </w:tcPr>
          <w:p w:rsidR="001A7B56" w:rsidRDefault="006F0693">
            <w:r>
              <w:rPr>
                <w:rFonts w:ascii="Arial" w:eastAsia="Arial" w:hAnsi="Arial" w:cs="Arial"/>
              </w:rPr>
              <w:t>Contact</w:t>
            </w:r>
          </w:p>
        </w:tc>
        <w:tc>
          <w:tcPr>
            <w:tcW w:w="8020" w:type="dxa"/>
            <w:tcBorders>
              <w:top w:val="single" w:sz="8" w:space="0" w:color="000000"/>
              <w:left w:val="single" w:sz="8" w:space="0" w:color="000000"/>
              <w:bottom w:val="single" w:sz="8" w:space="0" w:color="000000"/>
              <w:right w:val="single" w:sz="8" w:space="0" w:color="000000"/>
            </w:tcBorders>
            <w:vAlign w:val="center"/>
          </w:tcPr>
          <w:p w:rsidR="009403F8" w:rsidRDefault="00D6144E" w:rsidP="009403F8">
            <w:pPr>
              <w:ind w:left="10" w:right="3385"/>
            </w:pPr>
            <w:hyperlink r:id="rId6" w:history="1">
              <w:r w:rsidR="00F71026" w:rsidRPr="00492812">
                <w:rPr>
                  <w:rStyle w:val="Lienhypertexte"/>
                  <w:rFonts w:ascii="Arial" w:eastAsia="Arial" w:hAnsi="Arial" w:cs="Arial"/>
                </w:rPr>
                <w:t>sophie.sakka@insei.fr</w:t>
              </w:r>
            </w:hyperlink>
            <w:r w:rsidR="00633E62">
              <w:rPr>
                <w:rStyle w:val="Lienhypertexte"/>
                <w:rFonts w:ascii="Arial" w:eastAsia="Arial" w:hAnsi="Arial" w:cs="Arial"/>
              </w:rPr>
              <w:t>, eric.meyer@insei.fr</w:t>
            </w:r>
          </w:p>
        </w:tc>
      </w:tr>
      <w:tr w:rsidR="00F71026" w:rsidTr="00F71026">
        <w:trPr>
          <w:trHeight w:val="720"/>
        </w:trPr>
        <w:tc>
          <w:tcPr>
            <w:tcW w:w="1820" w:type="dxa"/>
            <w:tcBorders>
              <w:top w:val="single" w:sz="8" w:space="0" w:color="000000"/>
              <w:left w:val="single" w:sz="8" w:space="0" w:color="000000"/>
              <w:bottom w:val="single" w:sz="8" w:space="0" w:color="000000"/>
              <w:right w:val="single" w:sz="8" w:space="0" w:color="000000"/>
            </w:tcBorders>
            <w:vAlign w:val="center"/>
          </w:tcPr>
          <w:p w:rsidR="00F71026" w:rsidRDefault="00F71026">
            <w:pPr>
              <w:rPr>
                <w:rFonts w:ascii="Arial" w:eastAsia="Arial" w:hAnsi="Arial" w:cs="Arial"/>
              </w:rPr>
            </w:pPr>
            <w:r>
              <w:rPr>
                <w:rFonts w:ascii="Arial" w:eastAsia="Arial" w:hAnsi="Arial" w:cs="Arial"/>
              </w:rPr>
              <w:t>Titre</w:t>
            </w:r>
          </w:p>
        </w:tc>
        <w:tc>
          <w:tcPr>
            <w:tcW w:w="8020" w:type="dxa"/>
            <w:tcBorders>
              <w:top w:val="single" w:sz="8" w:space="0" w:color="000000"/>
              <w:left w:val="single" w:sz="8" w:space="0" w:color="000000"/>
              <w:bottom w:val="single" w:sz="8" w:space="0" w:color="000000"/>
              <w:right w:val="single" w:sz="8" w:space="0" w:color="000000"/>
            </w:tcBorders>
            <w:vAlign w:val="center"/>
          </w:tcPr>
          <w:p w:rsidR="00F71026" w:rsidRDefault="00D6144E">
            <w:pPr>
              <w:ind w:left="10"/>
              <w:rPr>
                <w:rFonts w:ascii="Arial" w:eastAsia="Arial" w:hAnsi="Arial" w:cs="Arial"/>
              </w:rPr>
            </w:pPr>
            <w:r w:rsidRPr="00D6144E">
              <w:rPr>
                <w:rFonts w:ascii="Arial" w:eastAsia="Arial" w:hAnsi="Arial" w:cs="Arial"/>
              </w:rPr>
              <w:t>Amélioration de la concentration des individus avec TDAH par la médiation robotique</w:t>
            </w:r>
            <w:bookmarkStart w:id="0" w:name="_GoBack"/>
            <w:bookmarkEnd w:id="0"/>
          </w:p>
        </w:tc>
      </w:tr>
      <w:tr w:rsidR="001A7B56" w:rsidTr="00F71026">
        <w:trPr>
          <w:trHeight w:val="720"/>
        </w:trPr>
        <w:tc>
          <w:tcPr>
            <w:tcW w:w="1820" w:type="dxa"/>
            <w:tcBorders>
              <w:top w:val="single" w:sz="8" w:space="0" w:color="000000"/>
              <w:left w:val="single" w:sz="8" w:space="0" w:color="000000"/>
              <w:bottom w:val="single" w:sz="8" w:space="0" w:color="000000"/>
              <w:right w:val="single" w:sz="8" w:space="0" w:color="000000"/>
            </w:tcBorders>
            <w:vAlign w:val="center"/>
          </w:tcPr>
          <w:p w:rsidR="001A7B56" w:rsidRDefault="006F0693">
            <w:r>
              <w:rPr>
                <w:rFonts w:ascii="Arial" w:eastAsia="Arial" w:hAnsi="Arial" w:cs="Arial"/>
              </w:rPr>
              <w:t>Période</w:t>
            </w:r>
          </w:p>
        </w:tc>
        <w:tc>
          <w:tcPr>
            <w:tcW w:w="8020" w:type="dxa"/>
            <w:tcBorders>
              <w:top w:val="single" w:sz="8" w:space="0" w:color="000000"/>
              <w:left w:val="single" w:sz="8" w:space="0" w:color="000000"/>
              <w:bottom w:val="single" w:sz="8" w:space="0" w:color="000000"/>
              <w:right w:val="single" w:sz="8" w:space="0" w:color="000000"/>
            </w:tcBorders>
            <w:vAlign w:val="center"/>
          </w:tcPr>
          <w:p w:rsidR="001A7B56" w:rsidRDefault="00633E62">
            <w:pPr>
              <w:ind w:left="10"/>
            </w:pPr>
            <w:r>
              <w:rPr>
                <w:rFonts w:ascii="Arial" w:eastAsia="Arial" w:hAnsi="Arial" w:cs="Arial"/>
              </w:rPr>
              <w:t>3 a</w:t>
            </w:r>
            <w:r w:rsidRPr="00633E62">
              <w:rPr>
                <w:rFonts w:ascii="Arial" w:eastAsia="Arial" w:hAnsi="Arial" w:cs="Arial"/>
              </w:rPr>
              <w:t>nnées</w:t>
            </w:r>
          </w:p>
        </w:tc>
      </w:tr>
      <w:tr w:rsidR="001A7B56">
        <w:trPr>
          <w:trHeight w:val="480"/>
        </w:trPr>
        <w:tc>
          <w:tcPr>
            <w:tcW w:w="1820" w:type="dxa"/>
            <w:tcBorders>
              <w:top w:val="single" w:sz="8" w:space="0" w:color="000000"/>
              <w:left w:val="single" w:sz="8" w:space="0" w:color="000000"/>
              <w:bottom w:val="single" w:sz="8" w:space="0" w:color="000000"/>
              <w:right w:val="single" w:sz="8" w:space="0" w:color="000000"/>
            </w:tcBorders>
            <w:vAlign w:val="center"/>
          </w:tcPr>
          <w:p w:rsidR="001A7B56" w:rsidRDefault="006F0693">
            <w:r>
              <w:rPr>
                <w:rFonts w:ascii="Arial" w:eastAsia="Arial" w:hAnsi="Arial" w:cs="Arial"/>
              </w:rPr>
              <w:t>Langue</w:t>
            </w:r>
          </w:p>
        </w:tc>
        <w:tc>
          <w:tcPr>
            <w:tcW w:w="8020" w:type="dxa"/>
            <w:tcBorders>
              <w:top w:val="single" w:sz="8" w:space="0" w:color="000000"/>
              <w:left w:val="single" w:sz="8" w:space="0" w:color="000000"/>
              <w:bottom w:val="single" w:sz="8" w:space="0" w:color="000000"/>
              <w:right w:val="single" w:sz="8" w:space="0" w:color="000000"/>
            </w:tcBorders>
            <w:vAlign w:val="center"/>
          </w:tcPr>
          <w:p w:rsidR="001A7B56" w:rsidRDefault="009403F8">
            <w:pPr>
              <w:ind w:left="10"/>
            </w:pPr>
            <w:r>
              <w:rPr>
                <w:rFonts w:ascii="Arial" w:eastAsia="Arial" w:hAnsi="Arial" w:cs="Arial"/>
              </w:rPr>
              <w:t>F</w:t>
            </w:r>
            <w:r w:rsidR="006F0693">
              <w:rPr>
                <w:rFonts w:ascii="Arial" w:eastAsia="Arial" w:hAnsi="Arial" w:cs="Arial"/>
              </w:rPr>
              <w:t>rançais</w:t>
            </w:r>
            <w:r w:rsidR="00633E62">
              <w:rPr>
                <w:rFonts w:ascii="Arial" w:eastAsia="Arial" w:hAnsi="Arial" w:cs="Arial"/>
              </w:rPr>
              <w:t xml:space="preserve"> (obligatoire)</w:t>
            </w:r>
            <w:r>
              <w:rPr>
                <w:rFonts w:ascii="Arial" w:eastAsia="Arial" w:hAnsi="Arial" w:cs="Arial"/>
              </w:rPr>
              <w:t>, anglais</w:t>
            </w:r>
          </w:p>
        </w:tc>
      </w:tr>
      <w:tr w:rsidR="001A7B56">
        <w:trPr>
          <w:trHeight w:val="480"/>
        </w:trPr>
        <w:tc>
          <w:tcPr>
            <w:tcW w:w="9840" w:type="dxa"/>
            <w:gridSpan w:val="2"/>
            <w:tcBorders>
              <w:top w:val="single" w:sz="8" w:space="0" w:color="000000"/>
              <w:left w:val="single" w:sz="8" w:space="0" w:color="000000"/>
              <w:bottom w:val="single" w:sz="8" w:space="0" w:color="000000"/>
              <w:right w:val="single" w:sz="8" w:space="0" w:color="000000"/>
            </w:tcBorders>
            <w:vAlign w:val="center"/>
          </w:tcPr>
          <w:p w:rsidR="001A7B56" w:rsidRPr="005C3CEA" w:rsidRDefault="006F0693">
            <w:pPr>
              <w:jc w:val="center"/>
              <w:rPr>
                <w:rFonts w:asciiTheme="minorHAnsi" w:eastAsia="Arial" w:hAnsiTheme="minorHAnsi" w:cstheme="minorHAnsi"/>
                <w:b/>
              </w:rPr>
            </w:pPr>
            <w:r w:rsidRPr="005C3CEA">
              <w:rPr>
                <w:rFonts w:asciiTheme="minorHAnsi" w:eastAsia="Arial" w:hAnsiTheme="minorHAnsi" w:cstheme="minorHAnsi"/>
                <w:b/>
              </w:rPr>
              <w:t xml:space="preserve">Sujet de </w:t>
            </w:r>
            <w:r w:rsidR="00633E62" w:rsidRPr="005C3CEA">
              <w:rPr>
                <w:rFonts w:asciiTheme="minorHAnsi" w:eastAsia="Arial" w:hAnsiTheme="minorHAnsi" w:cstheme="minorHAnsi"/>
                <w:b/>
              </w:rPr>
              <w:t>thèse</w:t>
            </w:r>
          </w:p>
          <w:p w:rsidR="007A18E3" w:rsidRPr="007A18E3" w:rsidRDefault="007A18E3" w:rsidP="007A18E3">
            <w:pPr>
              <w:spacing w:after="253" w:line="265" w:lineRule="auto"/>
              <w:jc w:val="both"/>
              <w:rPr>
                <w:rFonts w:asciiTheme="minorHAnsi" w:eastAsia="Arial" w:hAnsiTheme="minorHAnsi" w:cstheme="minorHAnsi"/>
              </w:rPr>
            </w:pPr>
            <w:r w:rsidRPr="007A18E3">
              <w:rPr>
                <w:rFonts w:asciiTheme="minorHAnsi" w:eastAsia="Arial" w:hAnsiTheme="minorHAnsi" w:cstheme="minorHAnsi"/>
              </w:rPr>
              <w:t>Le Trouble Déficit de l’Attention avec ou sans Hyperactivité (TDAH) est un trouble neurodéveloppemental caractérisé par un niveau inapproprié d’inattention, d’impulsivité et, dans certains cas, d’hyperactivité, qui interfère significativement avec le fonctionnement quotidien ou le développement.</w:t>
            </w:r>
            <w:r w:rsidR="004B138A">
              <w:rPr>
                <w:rFonts w:asciiTheme="minorHAnsi" w:eastAsia="Arial" w:hAnsiTheme="minorHAnsi" w:cstheme="minorHAnsi"/>
              </w:rPr>
              <w:t xml:space="preserve"> </w:t>
            </w:r>
            <w:r w:rsidRPr="007A18E3">
              <w:rPr>
                <w:rFonts w:asciiTheme="minorHAnsi" w:eastAsia="Arial" w:hAnsiTheme="minorHAnsi" w:cstheme="minorHAnsi"/>
              </w:rPr>
              <w:t>Le TDAH, classé parmi les Troubles Neurodéveloppementaux dans la CIM-11 (Organisation Mondiale de la Santé, 2018) et le DSM-5 (</w:t>
            </w:r>
            <w:r w:rsidRPr="004B138A">
              <w:rPr>
                <w:rFonts w:asciiTheme="minorHAnsi" w:eastAsia="Arial" w:hAnsiTheme="minorHAnsi" w:cstheme="minorHAnsi"/>
                <w:i/>
              </w:rPr>
              <w:t xml:space="preserve">American </w:t>
            </w:r>
            <w:proofErr w:type="spellStart"/>
            <w:r w:rsidRPr="004B138A">
              <w:rPr>
                <w:rFonts w:asciiTheme="minorHAnsi" w:eastAsia="Arial" w:hAnsiTheme="minorHAnsi" w:cstheme="minorHAnsi"/>
                <w:i/>
              </w:rPr>
              <w:t>Psychiatric</w:t>
            </w:r>
            <w:proofErr w:type="spellEnd"/>
            <w:r w:rsidRPr="004B138A">
              <w:rPr>
                <w:rFonts w:asciiTheme="minorHAnsi" w:eastAsia="Arial" w:hAnsiTheme="minorHAnsi" w:cstheme="minorHAnsi"/>
                <w:i/>
              </w:rPr>
              <w:t xml:space="preserve"> Association</w:t>
            </w:r>
            <w:r w:rsidRPr="007A18E3">
              <w:rPr>
                <w:rFonts w:asciiTheme="minorHAnsi" w:eastAsia="Arial" w:hAnsiTheme="minorHAnsi" w:cstheme="minorHAnsi"/>
              </w:rPr>
              <w:t xml:space="preserve">, 2013), se manifeste par des difficultés persistantes dans l'acquisition et l'exécution de fonctions intellectuelles, motrices, langagières ou sociales. Ces troubles apparaissent souvent avant l'âge scolaire et entraînent des déficits multi-systémiques du développement, affectant significativement le domaine personnel, social </w:t>
            </w:r>
            <w:r w:rsidR="0017681E">
              <w:rPr>
                <w:rFonts w:asciiTheme="minorHAnsi" w:eastAsia="Arial" w:hAnsiTheme="minorHAnsi" w:cstheme="minorHAnsi"/>
              </w:rPr>
              <w:t>ou</w:t>
            </w:r>
            <w:r w:rsidRPr="007A18E3">
              <w:rPr>
                <w:rFonts w:asciiTheme="minorHAnsi" w:eastAsia="Arial" w:hAnsiTheme="minorHAnsi" w:cstheme="minorHAnsi"/>
              </w:rPr>
              <w:t xml:space="preserve"> scolaire.</w:t>
            </w:r>
            <w:r w:rsidR="004B138A">
              <w:rPr>
                <w:rFonts w:asciiTheme="minorHAnsi" w:eastAsia="Arial" w:hAnsiTheme="minorHAnsi" w:cstheme="minorHAnsi"/>
              </w:rPr>
              <w:t xml:space="preserve"> </w:t>
            </w:r>
            <w:r w:rsidRPr="007A18E3">
              <w:rPr>
                <w:rFonts w:asciiTheme="minorHAnsi" w:eastAsia="Arial" w:hAnsiTheme="minorHAnsi" w:cstheme="minorHAnsi"/>
              </w:rPr>
              <w:t xml:space="preserve">Le TDAH s’expliquerait par trois mécanismes : une variabilité </w:t>
            </w:r>
            <w:proofErr w:type="spellStart"/>
            <w:r w:rsidRPr="007A18E3">
              <w:rPr>
                <w:rFonts w:asciiTheme="minorHAnsi" w:eastAsia="Arial" w:hAnsiTheme="minorHAnsi" w:cstheme="minorHAnsi"/>
              </w:rPr>
              <w:t>intra-individuelle</w:t>
            </w:r>
            <w:proofErr w:type="spellEnd"/>
            <w:r w:rsidRPr="007A18E3">
              <w:rPr>
                <w:rFonts w:asciiTheme="minorHAnsi" w:eastAsia="Arial" w:hAnsiTheme="minorHAnsi" w:cstheme="minorHAnsi"/>
              </w:rPr>
              <w:t xml:space="preserve"> de l’attention, des déficits fluctuants des fonctions exécutives, et une motivation intrinsèque faible liée à un besoin accru de stimulation. Leur interaction souligne la nature multifactorielle du trouble (</w:t>
            </w:r>
            <w:proofErr w:type="spellStart"/>
            <w:r w:rsidRPr="007A18E3">
              <w:rPr>
                <w:rFonts w:asciiTheme="minorHAnsi" w:eastAsia="Arial" w:hAnsiTheme="minorHAnsi" w:cstheme="minorHAnsi"/>
              </w:rPr>
              <w:t>Hinshaw</w:t>
            </w:r>
            <w:proofErr w:type="spellEnd"/>
            <w:r w:rsidRPr="007A18E3">
              <w:rPr>
                <w:rFonts w:asciiTheme="minorHAnsi" w:eastAsia="Arial" w:hAnsiTheme="minorHAnsi" w:cstheme="minorHAnsi"/>
              </w:rPr>
              <w:t>, 2018).</w:t>
            </w:r>
            <w:r w:rsidR="004B138A">
              <w:rPr>
                <w:rFonts w:asciiTheme="minorHAnsi" w:eastAsia="Arial" w:hAnsiTheme="minorHAnsi" w:cstheme="minorHAnsi"/>
              </w:rPr>
              <w:t xml:space="preserve"> </w:t>
            </w:r>
            <w:r w:rsidRPr="007A18E3">
              <w:rPr>
                <w:rFonts w:asciiTheme="minorHAnsi" w:eastAsia="Arial" w:hAnsiTheme="minorHAnsi" w:cstheme="minorHAnsi"/>
              </w:rPr>
              <w:t>Le TDAH affecte l’attention soutenue, l’organisation, la régulation émotionnelle et le comportement social. Il peut entraîner des difficultés scolaires, des troubles des apprentissages, une faible estime de soi, des conflits familiaux et des problèmes relationnels, ainsi qu’un risque accru de troubles associés (anxiété, troubles oppositionnels, etc.)</w:t>
            </w:r>
          </w:p>
          <w:p w:rsidR="007A18E3" w:rsidRPr="007A18E3" w:rsidRDefault="007A18E3" w:rsidP="007A18E3">
            <w:pPr>
              <w:spacing w:after="253" w:line="265" w:lineRule="auto"/>
              <w:jc w:val="both"/>
              <w:rPr>
                <w:rFonts w:asciiTheme="minorHAnsi" w:eastAsia="Arial" w:hAnsiTheme="minorHAnsi" w:cstheme="minorHAnsi"/>
              </w:rPr>
            </w:pPr>
            <w:r w:rsidRPr="007A18E3">
              <w:rPr>
                <w:rFonts w:asciiTheme="minorHAnsi" w:eastAsia="Arial" w:hAnsiTheme="minorHAnsi" w:cstheme="minorHAnsi"/>
              </w:rPr>
              <w:t>La médiation robotique est principalement appliquée dans le cadre des troubles du spectre autistique</w:t>
            </w:r>
            <w:r w:rsidR="004B138A">
              <w:rPr>
                <w:rFonts w:asciiTheme="minorHAnsi" w:eastAsia="Arial" w:hAnsiTheme="minorHAnsi" w:cstheme="minorHAnsi"/>
              </w:rPr>
              <w:t xml:space="preserve"> (TSA)</w:t>
            </w:r>
            <w:r w:rsidRPr="007A18E3">
              <w:rPr>
                <w:rFonts w:asciiTheme="minorHAnsi" w:eastAsia="Arial" w:hAnsiTheme="minorHAnsi" w:cstheme="minorHAnsi"/>
              </w:rPr>
              <w:t xml:space="preserve"> (</w:t>
            </w:r>
            <w:proofErr w:type="spellStart"/>
            <w:r w:rsidRPr="007A18E3">
              <w:rPr>
                <w:rFonts w:asciiTheme="minorHAnsi" w:eastAsia="Arial" w:hAnsiTheme="minorHAnsi" w:cstheme="minorHAnsi"/>
              </w:rPr>
              <w:t>Alabdulkareem</w:t>
            </w:r>
            <w:proofErr w:type="spellEnd"/>
            <w:r w:rsidRPr="007A18E3">
              <w:rPr>
                <w:rFonts w:asciiTheme="minorHAnsi" w:eastAsia="Arial" w:hAnsiTheme="minorHAnsi" w:cstheme="minorHAnsi"/>
              </w:rPr>
              <w:t xml:space="preserve"> et al., </w:t>
            </w:r>
            <w:proofErr w:type="gramStart"/>
            <w:r w:rsidRPr="007A18E3">
              <w:rPr>
                <w:rFonts w:asciiTheme="minorHAnsi" w:eastAsia="Arial" w:hAnsiTheme="minorHAnsi" w:cstheme="minorHAnsi"/>
              </w:rPr>
              <w:t>2022;</w:t>
            </w:r>
            <w:proofErr w:type="gramEnd"/>
            <w:r w:rsidRPr="007A18E3">
              <w:rPr>
                <w:rFonts w:asciiTheme="minorHAnsi" w:eastAsia="Arial" w:hAnsiTheme="minorHAnsi" w:cstheme="minorHAnsi"/>
              </w:rPr>
              <w:t xml:space="preserve"> Robins, 2005, </w:t>
            </w:r>
            <w:proofErr w:type="spellStart"/>
            <w:r w:rsidRPr="007A18E3">
              <w:rPr>
                <w:rFonts w:asciiTheme="minorHAnsi" w:eastAsia="Arial" w:hAnsiTheme="minorHAnsi" w:cstheme="minorHAnsi"/>
              </w:rPr>
              <w:t>Sakka</w:t>
            </w:r>
            <w:proofErr w:type="spellEnd"/>
            <w:r w:rsidRPr="007A18E3">
              <w:rPr>
                <w:rFonts w:asciiTheme="minorHAnsi" w:eastAsia="Arial" w:hAnsiTheme="minorHAnsi" w:cstheme="minorHAnsi"/>
              </w:rPr>
              <w:t xml:space="preserve"> et al.) ou de personnes Alzheimer. Il s’agit pour nos équipes d’explorer les possibilités de la médiation robotique pour un public plus large, particulièrement TDAH (</w:t>
            </w:r>
            <w:proofErr w:type="spellStart"/>
            <w:r w:rsidRPr="007A18E3">
              <w:rPr>
                <w:rFonts w:asciiTheme="minorHAnsi" w:eastAsia="Arial" w:hAnsiTheme="minorHAnsi" w:cstheme="minorHAnsi"/>
              </w:rPr>
              <w:t>Aparicio</w:t>
            </w:r>
            <w:proofErr w:type="spellEnd"/>
            <w:r w:rsidRPr="007A18E3">
              <w:rPr>
                <w:rFonts w:asciiTheme="minorHAnsi" w:eastAsia="Arial" w:hAnsiTheme="minorHAnsi" w:cstheme="minorHAnsi"/>
              </w:rPr>
              <w:t>-Juarez et al., 2024), sous la forme du jeu social volontaire permettant d’améliorer certaines fonctions cognitives et de faciliter l’insertion sociale ainsi que l’apprentissage. Le paradigme philosophique développé dans notre équipe de recherche consiste à utiliser la médiation robotique comme un outil permettant d’améliorer l’identité sociale et l’apprentissage des participants, c’est-à-dire que nous définissons les participants comme des acteurs sociaux, et non les robots.</w:t>
            </w:r>
          </w:p>
          <w:p w:rsidR="007A18E3" w:rsidRPr="007A18E3" w:rsidRDefault="007A18E3" w:rsidP="007A18E3">
            <w:pPr>
              <w:spacing w:after="253" w:line="265" w:lineRule="auto"/>
              <w:jc w:val="both"/>
              <w:rPr>
                <w:rFonts w:asciiTheme="minorHAnsi" w:eastAsia="Arial" w:hAnsiTheme="minorHAnsi" w:cstheme="minorHAnsi"/>
              </w:rPr>
            </w:pPr>
            <w:r w:rsidRPr="007A18E3">
              <w:rPr>
                <w:rFonts w:asciiTheme="minorHAnsi" w:eastAsia="Arial" w:hAnsiTheme="minorHAnsi" w:cstheme="minorHAnsi"/>
              </w:rPr>
              <w:lastRenderedPageBreak/>
              <w:t xml:space="preserve">Le </w:t>
            </w:r>
            <w:r w:rsidRPr="004B138A">
              <w:rPr>
                <w:rFonts w:asciiTheme="minorHAnsi" w:eastAsia="Arial" w:hAnsiTheme="minorHAnsi" w:cstheme="minorHAnsi"/>
                <w:i/>
              </w:rPr>
              <w:t>neurofeedback</w:t>
            </w:r>
            <w:r w:rsidRPr="007A18E3">
              <w:rPr>
                <w:rFonts w:asciiTheme="minorHAnsi" w:eastAsia="Arial" w:hAnsiTheme="minorHAnsi" w:cstheme="minorHAnsi"/>
              </w:rPr>
              <w:t xml:space="preserve"> est une thérapie non médicamenteuse visant à aider les personnes avec TDAH à mieux réguler leur activité cérébrale en s’appuyant sur l’utilisation d’EEG et une transcription en direct de l’activité cérébrale. Utilisant des protocoles standardisés (thêta/bêta, SMR, SCP), il permet des améliorations modestes mais significatives des symptômes, notamment l’inattention et l’impulsivité, surtout lorsque l’évaluation n’est pas faite en aveugle (</w:t>
            </w:r>
            <w:proofErr w:type="spellStart"/>
            <w:r w:rsidRPr="007A18E3">
              <w:rPr>
                <w:rFonts w:asciiTheme="minorHAnsi" w:eastAsia="Arial" w:hAnsiTheme="minorHAnsi" w:cstheme="minorHAnsi"/>
              </w:rPr>
              <w:t>Riesco-Matías</w:t>
            </w:r>
            <w:proofErr w:type="spellEnd"/>
            <w:r w:rsidRPr="007A18E3">
              <w:rPr>
                <w:rFonts w:asciiTheme="minorHAnsi" w:eastAsia="Arial" w:hAnsiTheme="minorHAnsi" w:cstheme="minorHAnsi"/>
              </w:rPr>
              <w:t xml:space="preserve"> et al., 2019). Cependant, son efficacité reste inférieure à celle des médicaments stimulants, et les résultats sont souvent moins convaincants dans les études rigoureusement contrôlées (</w:t>
            </w:r>
            <w:proofErr w:type="spellStart"/>
            <w:r w:rsidRPr="007A18E3">
              <w:rPr>
                <w:rFonts w:asciiTheme="minorHAnsi" w:eastAsia="Arial" w:hAnsiTheme="minorHAnsi" w:cstheme="minorHAnsi"/>
              </w:rPr>
              <w:t>Cortese</w:t>
            </w:r>
            <w:proofErr w:type="spellEnd"/>
            <w:r w:rsidRPr="007A18E3">
              <w:rPr>
                <w:rFonts w:asciiTheme="minorHAnsi" w:eastAsia="Arial" w:hAnsiTheme="minorHAnsi" w:cstheme="minorHAnsi"/>
              </w:rPr>
              <w:t xml:space="preserve"> et al., 2015). Sont notamment soulevées des questions autour de la mise en œuvre des protocoles de neurofeedback, ainsi que sur l’analyse des signaux des EEG pour les individus avec TDAH (Chang et al., </w:t>
            </w:r>
            <w:proofErr w:type="gramStart"/>
            <w:r w:rsidRPr="007A18E3">
              <w:rPr>
                <w:rFonts w:asciiTheme="minorHAnsi" w:eastAsia="Arial" w:hAnsiTheme="minorHAnsi" w:cstheme="minorHAnsi"/>
              </w:rPr>
              <w:t>2022;</w:t>
            </w:r>
            <w:proofErr w:type="gramEnd"/>
            <w:r w:rsidRPr="007A18E3">
              <w:rPr>
                <w:rFonts w:asciiTheme="minorHAnsi" w:eastAsia="Arial" w:hAnsiTheme="minorHAnsi" w:cstheme="minorHAnsi"/>
              </w:rPr>
              <w:t xml:space="preserve"> </w:t>
            </w:r>
            <w:proofErr w:type="spellStart"/>
            <w:r w:rsidRPr="007A18E3">
              <w:rPr>
                <w:rFonts w:asciiTheme="minorHAnsi" w:eastAsia="Arial" w:hAnsiTheme="minorHAnsi" w:cstheme="minorHAnsi"/>
              </w:rPr>
              <w:t>Yaghoobi</w:t>
            </w:r>
            <w:proofErr w:type="spellEnd"/>
            <w:r w:rsidRPr="007A18E3">
              <w:rPr>
                <w:rFonts w:asciiTheme="minorHAnsi" w:eastAsia="Arial" w:hAnsiTheme="minorHAnsi" w:cstheme="minorHAnsi"/>
              </w:rPr>
              <w:t xml:space="preserve"> </w:t>
            </w:r>
            <w:proofErr w:type="spellStart"/>
            <w:r w:rsidRPr="007A18E3">
              <w:rPr>
                <w:rFonts w:asciiTheme="minorHAnsi" w:eastAsia="Arial" w:hAnsiTheme="minorHAnsi" w:cstheme="minorHAnsi"/>
              </w:rPr>
              <w:t>Karimui</w:t>
            </w:r>
            <w:proofErr w:type="spellEnd"/>
            <w:r w:rsidRPr="007A18E3">
              <w:rPr>
                <w:rFonts w:asciiTheme="minorHAnsi" w:eastAsia="Arial" w:hAnsiTheme="minorHAnsi" w:cstheme="minorHAnsi"/>
              </w:rPr>
              <w:t xml:space="preserve"> et al., 2018).</w:t>
            </w:r>
          </w:p>
          <w:p w:rsidR="007A18E3" w:rsidRPr="007A18E3" w:rsidRDefault="007A18E3" w:rsidP="007A18E3">
            <w:pPr>
              <w:spacing w:after="253" w:line="265" w:lineRule="auto"/>
              <w:jc w:val="both"/>
              <w:rPr>
                <w:rFonts w:asciiTheme="minorHAnsi" w:eastAsia="Arial" w:hAnsiTheme="minorHAnsi" w:cstheme="minorHAnsi"/>
              </w:rPr>
            </w:pPr>
            <w:r w:rsidRPr="007A18E3">
              <w:rPr>
                <w:rFonts w:asciiTheme="minorHAnsi" w:eastAsia="Arial" w:hAnsiTheme="minorHAnsi" w:cstheme="minorHAnsi"/>
              </w:rPr>
              <w:t>Si des interfaces EEG-Robot ont été incorporées dans des protocoles de manipulation des robots auprès d’individus avec TDAH (</w:t>
            </w:r>
            <w:proofErr w:type="spellStart"/>
            <w:r w:rsidRPr="007A18E3">
              <w:rPr>
                <w:rFonts w:asciiTheme="minorHAnsi" w:eastAsia="Arial" w:hAnsiTheme="minorHAnsi" w:cstheme="minorHAnsi"/>
              </w:rPr>
              <w:t>Berrezueta</w:t>
            </w:r>
            <w:proofErr w:type="spellEnd"/>
            <w:r w:rsidRPr="007A18E3">
              <w:rPr>
                <w:rFonts w:asciiTheme="minorHAnsi" w:eastAsia="Arial" w:hAnsiTheme="minorHAnsi" w:cstheme="minorHAnsi"/>
              </w:rPr>
              <w:t>-Guzman et al., 2022), les études présentent peu de résultats probants de cette forme d’interaction homme-machine. Sont notamment soulevées des questions autour de l’utilisation en contexte (Cervantes et al., 2023).</w:t>
            </w:r>
            <w:r w:rsidR="004B138A">
              <w:rPr>
                <w:rFonts w:asciiTheme="minorHAnsi" w:eastAsia="Arial" w:hAnsiTheme="minorHAnsi" w:cstheme="minorHAnsi"/>
              </w:rPr>
              <w:t xml:space="preserve"> </w:t>
            </w:r>
            <w:r w:rsidRPr="007A18E3">
              <w:rPr>
                <w:rFonts w:asciiTheme="minorHAnsi" w:eastAsia="Arial" w:hAnsiTheme="minorHAnsi" w:cstheme="minorHAnsi"/>
              </w:rPr>
              <w:t>Par ailleurs, l’utilisation des jeux en thérapie auprès des individus avec TDAH semble montrer de bon résultats (</w:t>
            </w:r>
            <w:proofErr w:type="spellStart"/>
            <w:r w:rsidRPr="007A18E3">
              <w:rPr>
                <w:rFonts w:asciiTheme="minorHAnsi" w:eastAsia="Arial" w:hAnsiTheme="minorHAnsi" w:cstheme="minorHAnsi"/>
              </w:rPr>
              <w:t>Peñuelas</w:t>
            </w:r>
            <w:proofErr w:type="spellEnd"/>
            <w:r w:rsidRPr="007A18E3">
              <w:rPr>
                <w:rFonts w:asciiTheme="minorHAnsi" w:eastAsia="Arial" w:hAnsiTheme="minorHAnsi" w:cstheme="minorHAnsi"/>
              </w:rPr>
              <w:t>-Calvo et al., 2020), cela également lorsque le jeu est contrôlé par EEG (</w:t>
            </w:r>
            <w:proofErr w:type="spellStart"/>
            <w:r w:rsidRPr="007A18E3">
              <w:rPr>
                <w:rFonts w:asciiTheme="minorHAnsi" w:eastAsia="Arial" w:hAnsiTheme="minorHAnsi" w:cstheme="minorHAnsi"/>
              </w:rPr>
              <w:t>Bravou</w:t>
            </w:r>
            <w:proofErr w:type="spellEnd"/>
            <w:r w:rsidRPr="007A18E3">
              <w:rPr>
                <w:rFonts w:asciiTheme="minorHAnsi" w:eastAsia="Arial" w:hAnsiTheme="minorHAnsi" w:cstheme="minorHAnsi"/>
              </w:rPr>
              <w:t xml:space="preserve"> &amp; </w:t>
            </w:r>
            <w:proofErr w:type="spellStart"/>
            <w:r w:rsidRPr="007A18E3">
              <w:rPr>
                <w:rFonts w:asciiTheme="minorHAnsi" w:eastAsia="Arial" w:hAnsiTheme="minorHAnsi" w:cstheme="minorHAnsi"/>
              </w:rPr>
              <w:t>Drigas</w:t>
            </w:r>
            <w:proofErr w:type="spellEnd"/>
            <w:r w:rsidRPr="007A18E3">
              <w:rPr>
                <w:rFonts w:asciiTheme="minorHAnsi" w:eastAsia="Arial" w:hAnsiTheme="minorHAnsi" w:cstheme="minorHAnsi"/>
              </w:rPr>
              <w:t>, 2021).</w:t>
            </w:r>
          </w:p>
          <w:p w:rsidR="007A18E3" w:rsidRPr="007A18E3" w:rsidRDefault="007A18E3" w:rsidP="007A18E3">
            <w:pPr>
              <w:spacing w:after="253" w:line="265" w:lineRule="auto"/>
              <w:jc w:val="both"/>
              <w:rPr>
                <w:rFonts w:asciiTheme="minorHAnsi" w:eastAsia="Arial" w:hAnsiTheme="minorHAnsi" w:cstheme="minorHAnsi"/>
              </w:rPr>
            </w:pPr>
            <w:r w:rsidRPr="007A18E3">
              <w:rPr>
                <w:rFonts w:asciiTheme="minorHAnsi" w:eastAsia="Arial" w:hAnsiTheme="minorHAnsi" w:cstheme="minorHAnsi"/>
              </w:rPr>
              <w:t>L’objectif de ce projet est d’explorer un usage du robot avec une interface basé sur l’EEG pour favoriser le développement de plusieurs fonctions cognitives, notamment les fonctions attentionnelles et exécutives, mais également l</w:t>
            </w:r>
            <w:r w:rsidR="004B138A">
              <w:rPr>
                <w:rFonts w:asciiTheme="minorHAnsi" w:eastAsia="Arial" w:hAnsiTheme="minorHAnsi" w:cstheme="minorHAnsi"/>
              </w:rPr>
              <w:t xml:space="preserve">es compétences psychosociales, </w:t>
            </w:r>
            <w:r w:rsidR="00B966E1">
              <w:rPr>
                <w:rFonts w:asciiTheme="minorHAnsi" w:eastAsia="Arial" w:hAnsiTheme="minorHAnsi" w:cstheme="minorHAnsi"/>
              </w:rPr>
              <w:t>telles que l</w:t>
            </w:r>
            <w:r w:rsidRPr="007A18E3">
              <w:rPr>
                <w:rFonts w:asciiTheme="minorHAnsi" w:eastAsia="Arial" w:hAnsiTheme="minorHAnsi" w:cstheme="minorHAnsi"/>
              </w:rPr>
              <w:t>a régulation émotionnelle et sociale</w:t>
            </w:r>
            <w:r w:rsidR="004B138A">
              <w:rPr>
                <w:rFonts w:asciiTheme="minorHAnsi" w:eastAsia="Arial" w:hAnsiTheme="minorHAnsi" w:cstheme="minorHAnsi"/>
              </w:rPr>
              <w:t>, la motivation, l’estime de soi et la perception de soi</w:t>
            </w:r>
            <w:r w:rsidRPr="007A18E3">
              <w:rPr>
                <w:rFonts w:asciiTheme="minorHAnsi" w:eastAsia="Arial" w:hAnsiTheme="minorHAnsi" w:cstheme="minorHAnsi"/>
              </w:rPr>
              <w:t>.</w:t>
            </w:r>
          </w:p>
          <w:p w:rsidR="00B966E1" w:rsidRPr="007A18E3" w:rsidRDefault="007A18E3" w:rsidP="00B966E1">
            <w:pPr>
              <w:spacing w:after="253" w:line="265" w:lineRule="auto"/>
              <w:jc w:val="both"/>
              <w:rPr>
                <w:rFonts w:asciiTheme="minorHAnsi" w:eastAsia="Arial" w:hAnsiTheme="minorHAnsi" w:cstheme="minorHAnsi"/>
              </w:rPr>
            </w:pPr>
            <w:r w:rsidRPr="007A18E3">
              <w:rPr>
                <w:rFonts w:asciiTheme="minorHAnsi" w:eastAsia="Arial" w:hAnsiTheme="minorHAnsi" w:cstheme="minorHAnsi"/>
              </w:rPr>
              <w:t xml:space="preserve">L’expérimentation consiste à équiper un sujet d’un EEG, et l’entrainer à commander un robot mobile type voiture. </w:t>
            </w:r>
            <w:r w:rsidR="00B966E1">
              <w:rPr>
                <w:rFonts w:asciiTheme="minorHAnsi" w:eastAsia="Arial" w:hAnsiTheme="minorHAnsi" w:cstheme="minorHAnsi"/>
              </w:rPr>
              <w:t>L’e</w:t>
            </w:r>
            <w:r w:rsidR="00B966E1" w:rsidRPr="007A18E3">
              <w:rPr>
                <w:rFonts w:asciiTheme="minorHAnsi" w:eastAsia="Arial" w:hAnsiTheme="minorHAnsi" w:cstheme="minorHAnsi"/>
              </w:rPr>
              <w:t xml:space="preserve">xpérimentation </w:t>
            </w:r>
            <w:r w:rsidR="00B966E1">
              <w:rPr>
                <w:rFonts w:asciiTheme="minorHAnsi" w:eastAsia="Arial" w:hAnsiTheme="minorHAnsi" w:cstheme="minorHAnsi"/>
              </w:rPr>
              <w:t xml:space="preserve">sera </w:t>
            </w:r>
            <w:r w:rsidR="00B966E1" w:rsidRPr="007A18E3">
              <w:rPr>
                <w:rFonts w:asciiTheme="minorHAnsi" w:eastAsia="Arial" w:hAnsiTheme="minorHAnsi" w:cstheme="minorHAnsi"/>
              </w:rPr>
              <w:t>pensée en 2 temps :</w:t>
            </w:r>
          </w:p>
          <w:p w:rsidR="00B966E1" w:rsidRDefault="00B966E1" w:rsidP="00B966E1">
            <w:pPr>
              <w:pStyle w:val="Paragraphedeliste"/>
              <w:numPr>
                <w:ilvl w:val="0"/>
                <w:numId w:val="8"/>
              </w:numPr>
              <w:spacing w:after="253" w:line="265" w:lineRule="auto"/>
              <w:jc w:val="both"/>
              <w:rPr>
                <w:rFonts w:asciiTheme="minorHAnsi" w:eastAsia="Arial" w:hAnsiTheme="minorHAnsi" w:cstheme="minorHAnsi"/>
              </w:rPr>
            </w:pPr>
            <w:r>
              <w:rPr>
                <w:rFonts w:asciiTheme="minorHAnsi" w:eastAsia="Arial" w:hAnsiTheme="minorHAnsi" w:cstheme="minorHAnsi"/>
              </w:rPr>
              <w:t>Une p</w:t>
            </w:r>
            <w:r w:rsidRPr="004B138A">
              <w:rPr>
                <w:rFonts w:asciiTheme="minorHAnsi" w:eastAsia="Arial" w:hAnsiTheme="minorHAnsi" w:cstheme="minorHAnsi"/>
              </w:rPr>
              <w:t>rise en main individuelle du système</w:t>
            </w:r>
          </w:p>
          <w:p w:rsidR="00B966E1" w:rsidRPr="004B138A" w:rsidRDefault="00B966E1" w:rsidP="00B966E1">
            <w:pPr>
              <w:pStyle w:val="Paragraphedeliste"/>
              <w:numPr>
                <w:ilvl w:val="0"/>
                <w:numId w:val="8"/>
              </w:numPr>
              <w:spacing w:after="253" w:line="265" w:lineRule="auto"/>
              <w:jc w:val="both"/>
              <w:rPr>
                <w:rFonts w:asciiTheme="minorHAnsi" w:eastAsia="Arial" w:hAnsiTheme="minorHAnsi" w:cstheme="minorHAnsi"/>
              </w:rPr>
            </w:pPr>
            <w:r>
              <w:rPr>
                <w:rFonts w:asciiTheme="minorHAnsi" w:eastAsia="Arial" w:hAnsiTheme="minorHAnsi" w:cstheme="minorHAnsi"/>
              </w:rPr>
              <w:t>Des j</w:t>
            </w:r>
            <w:r w:rsidRPr="004B138A">
              <w:rPr>
                <w:rFonts w:asciiTheme="minorHAnsi" w:eastAsia="Arial" w:hAnsiTheme="minorHAnsi" w:cstheme="minorHAnsi"/>
              </w:rPr>
              <w:t>eux avec les autres (jeux collaboratifs, jeux de compétition)</w:t>
            </w:r>
          </w:p>
          <w:p w:rsidR="007A18E3" w:rsidRPr="007A18E3" w:rsidRDefault="007A18E3" w:rsidP="007A18E3">
            <w:pPr>
              <w:spacing w:after="253" w:line="265" w:lineRule="auto"/>
              <w:jc w:val="both"/>
              <w:rPr>
                <w:rFonts w:asciiTheme="minorHAnsi" w:eastAsia="Arial" w:hAnsiTheme="minorHAnsi" w:cstheme="minorHAnsi"/>
              </w:rPr>
            </w:pPr>
            <w:r w:rsidRPr="007A18E3">
              <w:rPr>
                <w:rFonts w:asciiTheme="minorHAnsi" w:eastAsia="Arial" w:hAnsiTheme="minorHAnsi" w:cstheme="minorHAnsi"/>
              </w:rPr>
              <w:t xml:space="preserve">La prise en main individuelle consiste à suivre une trajectoire donnée en commandant 4 paramètres : avancer, reculer, tourner à droite ou à gauche. La vitesse pourra être un paramètre supplémentaire après une progression minimale. Les jeux collaboratifs consisteront en une course à plusieurs, chaque participant étant équipé d’un EEG et d’un véhicule. </w:t>
            </w:r>
          </w:p>
          <w:p w:rsidR="007A18E3" w:rsidRPr="007A18E3" w:rsidRDefault="002C3F21" w:rsidP="007A18E3">
            <w:pPr>
              <w:spacing w:after="253" w:line="265" w:lineRule="auto"/>
              <w:jc w:val="both"/>
              <w:rPr>
                <w:rFonts w:asciiTheme="minorHAnsi" w:eastAsia="Arial" w:hAnsiTheme="minorHAnsi" w:cstheme="minorHAnsi"/>
              </w:rPr>
            </w:pPr>
            <w:r w:rsidRPr="001E237C">
              <w:rPr>
                <w:rFonts w:asciiTheme="minorHAnsi" w:eastAsia="Arial" w:hAnsiTheme="minorHAnsi" w:cstheme="minorHAnsi"/>
              </w:rPr>
              <w:t>Le</w:t>
            </w:r>
            <w:r>
              <w:rPr>
                <w:rFonts w:asciiTheme="minorHAnsi" w:eastAsia="Arial" w:hAnsiTheme="minorHAnsi" w:cstheme="minorHAnsi"/>
              </w:rPr>
              <w:t>(la)</w:t>
            </w:r>
            <w:r w:rsidRPr="001E237C">
              <w:rPr>
                <w:rFonts w:asciiTheme="minorHAnsi" w:eastAsia="Arial" w:hAnsiTheme="minorHAnsi" w:cstheme="minorHAnsi"/>
              </w:rPr>
              <w:t xml:space="preserve"> doctorant</w:t>
            </w:r>
            <w:r>
              <w:rPr>
                <w:rFonts w:asciiTheme="minorHAnsi" w:eastAsia="Arial" w:hAnsiTheme="minorHAnsi" w:cstheme="minorHAnsi"/>
              </w:rPr>
              <w:t>e</w:t>
            </w:r>
            <w:r w:rsidRPr="001E237C">
              <w:rPr>
                <w:rFonts w:asciiTheme="minorHAnsi" w:eastAsia="Arial" w:hAnsiTheme="minorHAnsi" w:cstheme="minorHAnsi"/>
              </w:rPr>
              <w:t xml:space="preserve"> sera responsable du déploiement expérimental, de la récupération des données et de leur analyse.</w:t>
            </w:r>
            <w:r>
              <w:rPr>
                <w:rFonts w:asciiTheme="minorHAnsi" w:eastAsia="Arial" w:hAnsiTheme="minorHAnsi" w:cstheme="minorHAnsi"/>
              </w:rPr>
              <w:t xml:space="preserve"> Il (elle) devra en l’occurrence mener différentes études, dont la</w:t>
            </w:r>
            <w:r w:rsidR="007A18E3" w:rsidRPr="007A18E3">
              <w:rPr>
                <w:rFonts w:asciiTheme="minorHAnsi" w:eastAsia="Arial" w:hAnsiTheme="minorHAnsi" w:cstheme="minorHAnsi"/>
              </w:rPr>
              <w:t xml:space="preserve"> programmation et </w:t>
            </w:r>
            <w:r>
              <w:rPr>
                <w:rFonts w:asciiTheme="minorHAnsi" w:eastAsia="Arial" w:hAnsiTheme="minorHAnsi" w:cstheme="minorHAnsi"/>
              </w:rPr>
              <w:t>l’</w:t>
            </w:r>
            <w:r w:rsidR="007A18E3" w:rsidRPr="007A18E3">
              <w:rPr>
                <w:rFonts w:asciiTheme="minorHAnsi" w:eastAsia="Arial" w:hAnsiTheme="minorHAnsi" w:cstheme="minorHAnsi"/>
              </w:rPr>
              <w:t>analyse du signal d’une interface EEG-robot pour individu avec TDAH</w:t>
            </w:r>
            <w:r>
              <w:rPr>
                <w:rFonts w:asciiTheme="minorHAnsi" w:eastAsia="Arial" w:hAnsiTheme="minorHAnsi" w:cstheme="minorHAnsi"/>
              </w:rPr>
              <w:t xml:space="preserve">. Il(elle) sera chargé de réaliser le proof of concept, de la conception, mise en œuvre et validation de la méthodologie (étapes de prise en main et activités à réaliser avec le robot). Les populations étudiées seront sélectionnées en fonction de l’expérience </w:t>
            </w:r>
            <w:proofErr w:type="gramStart"/>
            <w:r>
              <w:rPr>
                <w:rFonts w:asciiTheme="minorHAnsi" w:eastAsia="Arial" w:hAnsiTheme="minorHAnsi" w:cstheme="minorHAnsi"/>
              </w:rPr>
              <w:t>du(</w:t>
            </w:r>
            <w:proofErr w:type="gramEnd"/>
            <w:r>
              <w:rPr>
                <w:rFonts w:asciiTheme="minorHAnsi" w:eastAsia="Arial" w:hAnsiTheme="minorHAnsi" w:cstheme="minorHAnsi"/>
              </w:rPr>
              <w:t>de la) doctorant(e).</w:t>
            </w:r>
          </w:p>
          <w:p w:rsidR="00CD33A3" w:rsidRPr="001E237C" w:rsidRDefault="007A18E3" w:rsidP="007A18E3">
            <w:pPr>
              <w:spacing w:after="253" w:line="265" w:lineRule="auto"/>
              <w:jc w:val="both"/>
              <w:rPr>
                <w:rFonts w:asciiTheme="minorHAnsi" w:eastAsia="Arial" w:hAnsiTheme="minorHAnsi" w:cstheme="minorHAnsi"/>
              </w:rPr>
            </w:pPr>
            <w:r w:rsidRPr="007A18E3">
              <w:rPr>
                <w:rFonts w:asciiTheme="minorHAnsi" w:eastAsia="Arial" w:hAnsiTheme="minorHAnsi" w:cstheme="minorHAnsi"/>
              </w:rPr>
              <w:t xml:space="preserve">Cette recherche est réalisée au sein du programme de recherche « Médiations Robotiques » de l’INSEI, elle s’inscrit dans un projet collaboratif entre l’INSEI et l’ISEP, dans le cadre du Consortium Numérique et Vulnérabilités (CNV). </w:t>
            </w:r>
            <w:r w:rsidR="005907DD">
              <w:rPr>
                <w:rFonts w:asciiTheme="minorHAnsi" w:eastAsia="Arial" w:hAnsiTheme="minorHAnsi" w:cstheme="minorHAnsi"/>
              </w:rPr>
              <w:t>Le programme de recherche « Médiations Robotiques »</w:t>
            </w:r>
            <w:r w:rsidRPr="007A18E3">
              <w:rPr>
                <w:rFonts w:asciiTheme="minorHAnsi" w:eastAsia="Arial" w:hAnsiTheme="minorHAnsi" w:cstheme="minorHAnsi"/>
              </w:rPr>
              <w:t xml:space="preserve"> </w:t>
            </w:r>
            <w:r w:rsidR="005907DD">
              <w:rPr>
                <w:rFonts w:asciiTheme="minorHAnsi" w:eastAsia="Arial" w:hAnsiTheme="minorHAnsi" w:cstheme="minorHAnsi"/>
              </w:rPr>
              <w:t>bénéficie d’un label d’excellence</w:t>
            </w:r>
            <w:r w:rsidRPr="007A18E3">
              <w:rPr>
                <w:rFonts w:asciiTheme="minorHAnsi" w:eastAsia="Arial" w:hAnsiTheme="minorHAnsi" w:cstheme="minorHAnsi"/>
              </w:rPr>
              <w:t xml:space="preserve"> par la chaire UNESCO Handicap, Education, Numérique.</w:t>
            </w:r>
          </w:p>
        </w:tc>
      </w:tr>
    </w:tbl>
    <w:p w:rsidR="001A7B56" w:rsidRDefault="006F0693">
      <w:pPr>
        <w:spacing w:after="540"/>
        <w:ind w:left="-1440" w:right="10480"/>
      </w:pPr>
      <w:r>
        <w:rPr>
          <w:noProof/>
        </w:rPr>
        <w:lastRenderedPageBreak/>
        <w:drawing>
          <wp:anchor distT="0" distB="0" distL="114300" distR="114300" simplePos="0" relativeHeight="251659264" behindDoc="0" locked="0" layoutInCell="1" allowOverlap="0">
            <wp:simplePos x="0" y="0"/>
            <wp:positionH relativeFrom="page">
              <wp:posOffset>5720625</wp:posOffset>
            </wp:positionH>
            <wp:positionV relativeFrom="page">
              <wp:posOffset>133350</wp:posOffset>
            </wp:positionV>
            <wp:extent cx="1024128" cy="563880"/>
            <wp:effectExtent l="0" t="0" r="0" b="0"/>
            <wp:wrapTopAndBottom/>
            <wp:docPr id="7547" name="Picture 7547"/>
            <wp:cNvGraphicFramePr/>
            <a:graphic xmlns:a="http://schemas.openxmlformats.org/drawingml/2006/main">
              <a:graphicData uri="http://schemas.openxmlformats.org/drawingml/2006/picture">
                <pic:pic xmlns:pic="http://schemas.openxmlformats.org/drawingml/2006/picture">
                  <pic:nvPicPr>
                    <pic:cNvPr id="7547" name="Picture 7547"/>
                    <pic:cNvPicPr/>
                  </pic:nvPicPr>
                  <pic:blipFill>
                    <a:blip r:embed="rId5"/>
                    <a:stretch>
                      <a:fillRect/>
                    </a:stretch>
                  </pic:blipFill>
                  <pic:spPr>
                    <a:xfrm>
                      <a:off x="0" y="0"/>
                      <a:ext cx="1024128" cy="563880"/>
                    </a:xfrm>
                    <a:prstGeom prst="rect">
                      <a:avLst/>
                    </a:prstGeom>
                  </pic:spPr>
                </pic:pic>
              </a:graphicData>
            </a:graphic>
          </wp:anchor>
        </w:drawing>
      </w:r>
    </w:p>
    <w:tbl>
      <w:tblPr>
        <w:tblStyle w:val="TableGrid"/>
        <w:tblW w:w="9840" w:type="dxa"/>
        <w:tblInd w:w="-690" w:type="dxa"/>
        <w:tblCellMar>
          <w:top w:w="159" w:type="dxa"/>
          <w:left w:w="99" w:type="dxa"/>
          <w:right w:w="97" w:type="dxa"/>
        </w:tblCellMar>
        <w:tblLook w:val="04A0" w:firstRow="1" w:lastRow="0" w:firstColumn="1" w:lastColumn="0" w:noHBand="0" w:noVBand="1"/>
      </w:tblPr>
      <w:tblGrid>
        <w:gridCol w:w="9840"/>
      </w:tblGrid>
      <w:tr w:rsidR="001A7B56">
        <w:trPr>
          <w:trHeight w:val="1380"/>
        </w:trPr>
        <w:tc>
          <w:tcPr>
            <w:tcW w:w="9840" w:type="dxa"/>
            <w:tcBorders>
              <w:top w:val="single" w:sz="8" w:space="0" w:color="000000"/>
              <w:left w:val="single" w:sz="8" w:space="0" w:color="000000"/>
              <w:bottom w:val="single" w:sz="8" w:space="0" w:color="000000"/>
              <w:right w:val="single" w:sz="8" w:space="0" w:color="000000"/>
            </w:tcBorders>
            <w:vAlign w:val="center"/>
          </w:tcPr>
          <w:p w:rsidR="001E237C" w:rsidRPr="005C3CEA" w:rsidRDefault="001E237C" w:rsidP="001E237C">
            <w:pPr>
              <w:spacing w:after="6"/>
              <w:jc w:val="center"/>
              <w:rPr>
                <w:b/>
              </w:rPr>
            </w:pPr>
            <w:r w:rsidRPr="005C3CEA">
              <w:rPr>
                <w:b/>
              </w:rPr>
              <w:lastRenderedPageBreak/>
              <w:t>Missions</w:t>
            </w:r>
          </w:p>
          <w:p w:rsidR="001A7B56" w:rsidRDefault="00633E62">
            <w:pPr>
              <w:numPr>
                <w:ilvl w:val="0"/>
                <w:numId w:val="1"/>
              </w:numPr>
              <w:spacing w:after="6"/>
            </w:pPr>
            <w:r>
              <w:t>Formulation théorique et méthodologique</w:t>
            </w:r>
          </w:p>
          <w:p w:rsidR="001A7B56" w:rsidRDefault="004469C7">
            <w:pPr>
              <w:numPr>
                <w:ilvl w:val="0"/>
                <w:numId w:val="1"/>
              </w:numPr>
              <w:spacing w:after="6"/>
            </w:pPr>
            <w:r>
              <w:t xml:space="preserve">Validation </w:t>
            </w:r>
            <w:r w:rsidR="00633E62">
              <w:t>expérimentale</w:t>
            </w:r>
            <w:r>
              <w:t xml:space="preserve"> </w:t>
            </w:r>
            <w:r w:rsidR="00CD33A3">
              <w:t>(1 sujet, puis plusieurs sujets simultanément)</w:t>
            </w:r>
          </w:p>
          <w:p w:rsidR="001A7B56" w:rsidRDefault="00633E62">
            <w:pPr>
              <w:numPr>
                <w:ilvl w:val="0"/>
                <w:numId w:val="1"/>
              </w:numPr>
            </w:pPr>
            <w:r>
              <w:t xml:space="preserve">Publications scientifiques </w:t>
            </w:r>
            <w:r w:rsidR="001E237C">
              <w:t xml:space="preserve">internationales </w:t>
            </w:r>
            <w:r>
              <w:t>et participation à la dynamique de l’équipe</w:t>
            </w:r>
          </w:p>
          <w:p w:rsidR="001E237C" w:rsidRDefault="001E237C">
            <w:pPr>
              <w:numPr>
                <w:ilvl w:val="0"/>
                <w:numId w:val="1"/>
              </w:numPr>
            </w:pPr>
            <w:r>
              <w:t>Réalisation d’un manuel utilisateur pour diffusion auprès des professionnels</w:t>
            </w:r>
          </w:p>
        </w:tc>
      </w:tr>
      <w:tr w:rsidR="001A7B56" w:rsidTr="00CD33A3">
        <w:trPr>
          <w:trHeight w:val="1871"/>
        </w:trPr>
        <w:tc>
          <w:tcPr>
            <w:tcW w:w="9840" w:type="dxa"/>
            <w:tcBorders>
              <w:top w:val="single" w:sz="8" w:space="0" w:color="000000"/>
              <w:left w:val="single" w:sz="8" w:space="0" w:color="000000"/>
              <w:bottom w:val="single" w:sz="8" w:space="0" w:color="000000"/>
              <w:right w:val="single" w:sz="8" w:space="0" w:color="000000"/>
            </w:tcBorders>
            <w:vAlign w:val="center"/>
          </w:tcPr>
          <w:p w:rsidR="004469C7" w:rsidRPr="005C3CEA" w:rsidRDefault="004469C7" w:rsidP="001E237C">
            <w:pPr>
              <w:jc w:val="center"/>
              <w:rPr>
                <w:b/>
              </w:rPr>
            </w:pPr>
            <w:r w:rsidRPr="005C3CEA">
              <w:rPr>
                <w:b/>
              </w:rPr>
              <w:t>Profil recherché</w:t>
            </w:r>
          </w:p>
          <w:p w:rsidR="005C3CEA" w:rsidRDefault="005C3CEA" w:rsidP="001E237C">
            <w:pPr>
              <w:numPr>
                <w:ilvl w:val="0"/>
                <w:numId w:val="2"/>
              </w:numPr>
              <w:spacing w:line="265" w:lineRule="auto"/>
              <w:jc w:val="both"/>
            </w:pPr>
            <w:r w:rsidRPr="005907DD">
              <w:rPr>
                <w:b/>
              </w:rPr>
              <w:t>Psychologie</w:t>
            </w:r>
            <w:r>
              <w:t>, neurosciences</w:t>
            </w:r>
          </w:p>
          <w:p w:rsidR="00C527D2" w:rsidRPr="00C527D2" w:rsidRDefault="00C527D2" w:rsidP="001E237C">
            <w:pPr>
              <w:numPr>
                <w:ilvl w:val="0"/>
                <w:numId w:val="2"/>
              </w:numPr>
              <w:spacing w:line="265" w:lineRule="auto"/>
              <w:jc w:val="both"/>
            </w:pPr>
            <w:r>
              <w:t>La connaissance des outils robotiques n’est pas un prérequis, cependant le(la) candidat(e) devra prendre en main ces outils pendant la thèse afin de les utiliser de façon autonome.</w:t>
            </w:r>
          </w:p>
          <w:p w:rsidR="001A7B56" w:rsidRDefault="006F0693" w:rsidP="001E237C">
            <w:pPr>
              <w:numPr>
                <w:ilvl w:val="0"/>
                <w:numId w:val="2"/>
              </w:numPr>
              <w:spacing w:line="265" w:lineRule="auto"/>
              <w:jc w:val="both"/>
            </w:pPr>
            <w:r w:rsidRPr="001E237C">
              <w:t>Étudiant</w:t>
            </w:r>
            <w:r w:rsidR="00F71026" w:rsidRPr="001E237C">
              <w:t>(e)</w:t>
            </w:r>
            <w:r w:rsidRPr="001E237C">
              <w:t xml:space="preserve"> </w:t>
            </w:r>
            <w:r w:rsidR="00633E62" w:rsidRPr="001E237C">
              <w:t>ayant validé un</w:t>
            </w:r>
            <w:r w:rsidRPr="001E237C">
              <w:t xml:space="preserve"> master.</w:t>
            </w:r>
          </w:p>
          <w:p w:rsidR="001A7B56" w:rsidRDefault="006F0693" w:rsidP="001E237C">
            <w:pPr>
              <w:numPr>
                <w:ilvl w:val="0"/>
                <w:numId w:val="2"/>
              </w:numPr>
              <w:spacing w:line="265" w:lineRule="auto"/>
              <w:jc w:val="both"/>
            </w:pPr>
            <w:r w:rsidRPr="001E237C">
              <w:t>Intérêt pour le monde de la recherche</w:t>
            </w:r>
            <w:r w:rsidR="004469C7" w:rsidRPr="001E237C">
              <w:t xml:space="preserve"> et la pluridisciplarité, </w:t>
            </w:r>
            <w:r w:rsidRPr="001E237C">
              <w:t>les interactions h</w:t>
            </w:r>
            <w:r w:rsidR="004469C7" w:rsidRPr="001E237C">
              <w:t>umain</w:t>
            </w:r>
            <w:r w:rsidRPr="001E237C">
              <w:t>-machine</w:t>
            </w:r>
            <w:r w:rsidR="004469C7" w:rsidRPr="001E237C">
              <w:t xml:space="preserve"> appliquées au handicap social</w:t>
            </w:r>
            <w:r w:rsidRPr="001E237C">
              <w:t>, la médiation robotique.</w:t>
            </w:r>
          </w:p>
        </w:tc>
      </w:tr>
      <w:tr w:rsidR="001A7B56">
        <w:trPr>
          <w:trHeight w:val="480"/>
        </w:trPr>
        <w:tc>
          <w:tcPr>
            <w:tcW w:w="9840" w:type="dxa"/>
            <w:tcBorders>
              <w:top w:val="single" w:sz="8" w:space="0" w:color="000000"/>
              <w:left w:val="single" w:sz="8" w:space="0" w:color="000000"/>
              <w:bottom w:val="single" w:sz="8" w:space="0" w:color="000000"/>
              <w:right w:val="single" w:sz="8" w:space="0" w:color="000000"/>
            </w:tcBorders>
            <w:vAlign w:val="center"/>
          </w:tcPr>
          <w:p w:rsidR="002332AE" w:rsidRPr="005C3CEA" w:rsidRDefault="002332AE" w:rsidP="001E237C">
            <w:pPr>
              <w:jc w:val="center"/>
              <w:rPr>
                <w:b/>
              </w:rPr>
            </w:pPr>
            <w:r w:rsidRPr="005C3CEA">
              <w:rPr>
                <w:b/>
              </w:rPr>
              <w:t>Conditions</w:t>
            </w:r>
          </w:p>
          <w:p w:rsidR="002332AE" w:rsidRDefault="00B334EF" w:rsidP="001E237C">
            <w:pPr>
              <w:numPr>
                <w:ilvl w:val="0"/>
                <w:numId w:val="2"/>
              </w:numPr>
              <w:spacing w:line="265" w:lineRule="auto"/>
              <w:jc w:val="both"/>
            </w:pPr>
            <w:r>
              <w:t>Contrat doctoral (concours)</w:t>
            </w:r>
            <w:r w:rsidR="00633E62">
              <w:t xml:space="preserve"> </w:t>
            </w:r>
          </w:p>
          <w:p w:rsidR="002332AE" w:rsidRDefault="002332AE" w:rsidP="001E237C">
            <w:pPr>
              <w:numPr>
                <w:ilvl w:val="0"/>
                <w:numId w:val="2"/>
              </w:numPr>
              <w:spacing w:line="265" w:lineRule="auto"/>
              <w:jc w:val="both"/>
            </w:pPr>
            <w:r>
              <w:t>Lieu : INSEI, Suresnes</w:t>
            </w:r>
          </w:p>
          <w:p w:rsidR="002332AE" w:rsidRDefault="002332AE" w:rsidP="001E237C">
            <w:pPr>
              <w:numPr>
                <w:ilvl w:val="0"/>
                <w:numId w:val="2"/>
              </w:numPr>
              <w:spacing w:line="265" w:lineRule="auto"/>
              <w:jc w:val="both"/>
            </w:pPr>
            <w:r>
              <w:t>Temps plein</w:t>
            </w:r>
          </w:p>
          <w:p w:rsidR="002332AE" w:rsidRDefault="002332AE" w:rsidP="001E237C">
            <w:pPr>
              <w:numPr>
                <w:ilvl w:val="0"/>
                <w:numId w:val="2"/>
              </w:numPr>
              <w:spacing w:line="265" w:lineRule="auto"/>
              <w:jc w:val="both"/>
            </w:pPr>
            <w:r>
              <w:t xml:space="preserve">Matériel expérimental à disposition : oui (EEG, robots, ordinateur, </w:t>
            </w:r>
            <w:r w:rsidR="00633E62">
              <w:t xml:space="preserve">notice utilisateurs, </w:t>
            </w:r>
            <w:r>
              <w:t>etc.)</w:t>
            </w:r>
          </w:p>
          <w:p w:rsidR="002332AE" w:rsidRDefault="002332AE" w:rsidP="001E237C">
            <w:pPr>
              <w:numPr>
                <w:ilvl w:val="0"/>
                <w:numId w:val="2"/>
              </w:numPr>
              <w:spacing w:line="265" w:lineRule="auto"/>
              <w:jc w:val="both"/>
            </w:pPr>
            <w:r w:rsidRPr="001E237C">
              <w:t>Envoyer CV, lettre de motivation et relevé de notes</w:t>
            </w:r>
            <w:r w:rsidR="00633E62" w:rsidRPr="001E237C">
              <w:t xml:space="preserve"> M1 et M2</w:t>
            </w:r>
            <w:r w:rsidRPr="001E237C">
              <w:t>, adressé à :</w:t>
            </w:r>
          </w:p>
          <w:p w:rsidR="002332AE" w:rsidRPr="001E237C" w:rsidRDefault="002332AE" w:rsidP="002332AE">
            <w:pPr>
              <w:pStyle w:val="Paragraphedeliste"/>
              <w:ind w:left="0"/>
              <w:jc w:val="center"/>
              <w:rPr>
                <w:rFonts w:asciiTheme="minorHAnsi" w:hAnsiTheme="minorHAnsi" w:cstheme="minorHAnsi"/>
              </w:rPr>
            </w:pPr>
            <w:r w:rsidRPr="001E237C">
              <w:rPr>
                <w:rFonts w:asciiTheme="minorHAnsi" w:eastAsia="Arial" w:hAnsiTheme="minorHAnsi" w:cstheme="minorHAnsi"/>
              </w:rPr>
              <w:t>Sophie Sakka</w:t>
            </w:r>
            <w:r w:rsidR="00C527D2" w:rsidRPr="001E237C">
              <w:rPr>
                <w:rFonts w:asciiTheme="minorHAnsi" w:eastAsia="Arial" w:hAnsiTheme="minorHAnsi" w:cstheme="minorHAnsi"/>
              </w:rPr>
              <w:t> :</w:t>
            </w:r>
            <w:r w:rsidRPr="001E237C">
              <w:rPr>
                <w:rFonts w:asciiTheme="minorHAnsi" w:eastAsia="Arial" w:hAnsiTheme="minorHAnsi" w:cstheme="minorHAnsi"/>
              </w:rPr>
              <w:t xml:space="preserve"> </w:t>
            </w:r>
            <w:hyperlink r:id="rId7" w:history="1">
              <w:r w:rsidR="00633E62" w:rsidRPr="001E237C">
                <w:rPr>
                  <w:rStyle w:val="Lienhypertexte"/>
                  <w:rFonts w:asciiTheme="minorHAnsi" w:eastAsia="Arial" w:hAnsiTheme="minorHAnsi" w:cstheme="minorHAnsi"/>
                </w:rPr>
                <w:t>sophie.sakka@insei.fr</w:t>
              </w:r>
            </w:hyperlink>
          </w:p>
          <w:p w:rsidR="002332AE" w:rsidRDefault="00FF4EE4" w:rsidP="00C527D2">
            <w:pPr>
              <w:jc w:val="center"/>
            </w:pPr>
            <w:r>
              <w:t>Éric</w:t>
            </w:r>
            <w:r w:rsidR="00C527D2">
              <w:t xml:space="preserve"> Meyer : eric.meyer@insei.fr</w:t>
            </w:r>
          </w:p>
        </w:tc>
      </w:tr>
      <w:tr w:rsidR="001A7B56" w:rsidTr="00CD33A3">
        <w:trPr>
          <w:trHeight w:val="2079"/>
        </w:trPr>
        <w:tc>
          <w:tcPr>
            <w:tcW w:w="9840" w:type="dxa"/>
            <w:tcBorders>
              <w:top w:val="single" w:sz="8" w:space="0" w:color="000000"/>
              <w:left w:val="single" w:sz="8" w:space="0" w:color="000000"/>
              <w:bottom w:val="single" w:sz="8" w:space="0" w:color="000000"/>
              <w:right w:val="single" w:sz="8" w:space="0" w:color="000000"/>
            </w:tcBorders>
            <w:vAlign w:val="center"/>
          </w:tcPr>
          <w:p w:rsidR="004469C7" w:rsidRPr="005C3CEA" w:rsidRDefault="004469C7" w:rsidP="00CD33A3">
            <w:pPr>
              <w:spacing w:line="266" w:lineRule="auto"/>
              <w:ind w:right="2"/>
              <w:jc w:val="center"/>
              <w:rPr>
                <w:rFonts w:asciiTheme="minorHAnsi" w:eastAsia="Arial" w:hAnsiTheme="minorHAnsi" w:cstheme="minorHAnsi"/>
                <w:b/>
              </w:rPr>
            </w:pPr>
            <w:r w:rsidRPr="005C3CEA">
              <w:rPr>
                <w:rFonts w:asciiTheme="minorHAnsi" w:eastAsia="Arial" w:hAnsiTheme="minorHAnsi" w:cstheme="minorHAnsi"/>
                <w:b/>
              </w:rPr>
              <w:t>Éléments de bibliographie</w:t>
            </w:r>
          </w:p>
          <w:p w:rsidR="00CD33A3" w:rsidRPr="001E237C" w:rsidRDefault="006F0693" w:rsidP="00CD33A3">
            <w:pPr>
              <w:pStyle w:val="Paragraphedeliste"/>
              <w:numPr>
                <w:ilvl w:val="0"/>
                <w:numId w:val="6"/>
              </w:numPr>
              <w:spacing w:after="5"/>
              <w:rPr>
                <w:rFonts w:asciiTheme="minorHAnsi" w:eastAsia="Arial" w:hAnsiTheme="minorHAnsi" w:cstheme="minorHAnsi"/>
              </w:rPr>
            </w:pPr>
            <w:r w:rsidRPr="001E237C">
              <w:rPr>
                <w:rFonts w:asciiTheme="minorHAnsi" w:eastAsia="Arial" w:hAnsiTheme="minorHAnsi" w:cstheme="minorHAnsi"/>
              </w:rPr>
              <w:t>Alabdulkareem A, Alhakbani N, Al-Nafjan A. A Systematic Review of Research on Robot-Assisted</w:t>
            </w:r>
            <w:r w:rsidR="00CD33A3" w:rsidRPr="001E237C">
              <w:rPr>
                <w:rFonts w:asciiTheme="minorHAnsi" w:eastAsia="Arial" w:hAnsiTheme="minorHAnsi" w:cstheme="minorHAnsi"/>
              </w:rPr>
              <w:t xml:space="preserve"> </w:t>
            </w:r>
            <w:r w:rsidRPr="001E237C">
              <w:rPr>
                <w:rFonts w:asciiTheme="minorHAnsi" w:eastAsia="Arial" w:hAnsiTheme="minorHAnsi" w:cstheme="minorHAnsi"/>
              </w:rPr>
              <w:t>Therapy for Children with Autism. Sensors 2022</w:t>
            </w:r>
            <w:r w:rsidR="00FF4EE4" w:rsidRPr="001E237C">
              <w:rPr>
                <w:rFonts w:asciiTheme="minorHAnsi" w:eastAsia="Arial" w:hAnsiTheme="minorHAnsi" w:cstheme="minorHAnsi"/>
              </w:rPr>
              <w:t xml:space="preserve">, </w:t>
            </w:r>
            <w:r w:rsidRPr="001E237C">
              <w:rPr>
                <w:rFonts w:asciiTheme="minorHAnsi" w:eastAsia="Arial" w:hAnsiTheme="minorHAnsi" w:cstheme="minorHAnsi"/>
              </w:rPr>
              <w:t>22</w:t>
            </w:r>
            <w:r w:rsidR="00FF4EE4" w:rsidRPr="001E237C">
              <w:rPr>
                <w:rFonts w:asciiTheme="minorHAnsi" w:eastAsia="Arial" w:hAnsiTheme="minorHAnsi" w:cstheme="minorHAnsi"/>
              </w:rPr>
              <w:t>,</w:t>
            </w:r>
            <w:r w:rsidRPr="001E237C">
              <w:rPr>
                <w:rFonts w:asciiTheme="minorHAnsi" w:eastAsia="Arial" w:hAnsiTheme="minorHAnsi" w:cstheme="minorHAnsi"/>
              </w:rPr>
              <w:t xml:space="preserve"> 944. </w:t>
            </w:r>
            <w:proofErr w:type="gramStart"/>
            <w:r w:rsidRPr="001E237C">
              <w:rPr>
                <w:rFonts w:asciiTheme="minorHAnsi" w:eastAsia="Arial" w:hAnsiTheme="minorHAnsi" w:cstheme="minorHAnsi"/>
              </w:rPr>
              <w:t>doi:</w:t>
            </w:r>
            <w:proofErr w:type="gramEnd"/>
            <w:r w:rsidRPr="001E237C">
              <w:rPr>
                <w:rFonts w:asciiTheme="minorHAnsi" w:eastAsia="Arial" w:hAnsiTheme="minorHAnsi" w:cstheme="minorHAnsi"/>
              </w:rPr>
              <w:t>10.3390/s22030944</w:t>
            </w:r>
          </w:p>
          <w:p w:rsidR="001A7B56" w:rsidRPr="001E237C" w:rsidRDefault="006F0693" w:rsidP="00CD33A3">
            <w:pPr>
              <w:pStyle w:val="Paragraphedeliste"/>
              <w:numPr>
                <w:ilvl w:val="0"/>
                <w:numId w:val="6"/>
              </w:numPr>
              <w:spacing w:after="5"/>
              <w:rPr>
                <w:rFonts w:asciiTheme="minorHAnsi" w:hAnsiTheme="minorHAnsi" w:cstheme="minorHAnsi"/>
              </w:rPr>
            </w:pPr>
            <w:r w:rsidRPr="001E237C">
              <w:rPr>
                <w:rFonts w:asciiTheme="minorHAnsi" w:eastAsia="Arial" w:hAnsiTheme="minorHAnsi" w:cstheme="minorHAnsi"/>
              </w:rPr>
              <w:t xml:space="preserve">Robins, B., Dautenhahn, K., Boekhorst, R. T., &amp; Billard, A. (2005). Robotic assistants in therapy and education of children with </w:t>
            </w:r>
            <w:proofErr w:type="gramStart"/>
            <w:r w:rsidRPr="001E237C">
              <w:rPr>
                <w:rFonts w:asciiTheme="minorHAnsi" w:eastAsia="Arial" w:hAnsiTheme="minorHAnsi" w:cstheme="minorHAnsi"/>
              </w:rPr>
              <w:t>autism:</w:t>
            </w:r>
            <w:proofErr w:type="gramEnd"/>
            <w:r w:rsidRPr="001E237C">
              <w:rPr>
                <w:rFonts w:asciiTheme="minorHAnsi" w:eastAsia="Arial" w:hAnsiTheme="minorHAnsi" w:cstheme="minorHAnsi"/>
              </w:rPr>
              <w:t xml:space="preserve"> can a small humanoid robot help encourage social interaction skills? Universal Access in the Information Society, 4(2), 105–120. </w:t>
            </w:r>
            <w:hyperlink r:id="rId8" w:history="1">
              <w:r w:rsidR="00F322F4" w:rsidRPr="001E237C">
                <w:rPr>
                  <w:rStyle w:val="Lienhypertexte"/>
                  <w:rFonts w:asciiTheme="minorHAnsi" w:eastAsia="Arial" w:hAnsiTheme="minorHAnsi" w:cstheme="minorHAnsi"/>
                </w:rPr>
                <w:t>https://doi.org/10.1007/s10209-005-0116-3</w:t>
              </w:r>
            </w:hyperlink>
          </w:p>
          <w:p w:rsidR="00F322F4" w:rsidRPr="001E237C" w:rsidRDefault="00F322F4" w:rsidP="00CD33A3">
            <w:pPr>
              <w:pStyle w:val="Paragraphedeliste"/>
              <w:numPr>
                <w:ilvl w:val="0"/>
                <w:numId w:val="6"/>
              </w:numPr>
              <w:spacing w:after="5"/>
              <w:rPr>
                <w:rFonts w:asciiTheme="minorHAnsi" w:hAnsiTheme="minorHAnsi" w:cstheme="minorHAnsi"/>
              </w:rPr>
            </w:pPr>
            <w:r w:rsidRPr="001E237C">
              <w:rPr>
                <w:rFonts w:asciiTheme="minorHAnsi" w:hAnsiTheme="minorHAnsi" w:cstheme="minorHAnsi"/>
              </w:rPr>
              <w:t xml:space="preserve">J. Aparicio-Juarez et al., "Human-robot physical interaction system as a tool for neurocognitive stimulation in children with ADHD in Mexico," 2024 XXVI Robotics Mexican Congress (COMRob), Torreón, Coahuila, Mexico, 2024, pp. 39-46, </w:t>
            </w:r>
            <w:proofErr w:type="gramStart"/>
            <w:r w:rsidRPr="001E237C">
              <w:rPr>
                <w:rFonts w:asciiTheme="minorHAnsi" w:hAnsiTheme="minorHAnsi" w:cstheme="minorHAnsi"/>
              </w:rPr>
              <w:t>doi:</w:t>
            </w:r>
            <w:proofErr w:type="gramEnd"/>
            <w:r w:rsidRPr="001E237C">
              <w:rPr>
                <w:rFonts w:asciiTheme="minorHAnsi" w:hAnsiTheme="minorHAnsi" w:cstheme="minorHAnsi"/>
              </w:rPr>
              <w:t xml:space="preserve"> 10.1109/COMRob64055.2024.10777441. </w:t>
            </w:r>
          </w:p>
          <w:p w:rsidR="001A7B56" w:rsidRPr="001E237C" w:rsidRDefault="001A7B56">
            <w:pPr>
              <w:ind w:left="420"/>
              <w:rPr>
                <w:rFonts w:asciiTheme="minorHAnsi" w:hAnsiTheme="minorHAnsi" w:cstheme="minorHAnsi"/>
              </w:rPr>
            </w:pPr>
          </w:p>
        </w:tc>
      </w:tr>
      <w:tr w:rsidR="00F322F4" w:rsidRPr="001E237C" w:rsidTr="00CD33A3">
        <w:trPr>
          <w:trHeight w:val="2079"/>
        </w:trPr>
        <w:tc>
          <w:tcPr>
            <w:tcW w:w="9840" w:type="dxa"/>
            <w:tcBorders>
              <w:top w:val="single" w:sz="8" w:space="0" w:color="000000"/>
              <w:left w:val="single" w:sz="8" w:space="0" w:color="000000"/>
              <w:bottom w:val="single" w:sz="8" w:space="0" w:color="000000"/>
              <w:right w:val="single" w:sz="8" w:space="0" w:color="000000"/>
            </w:tcBorders>
            <w:vAlign w:val="center"/>
          </w:tcPr>
          <w:p w:rsidR="00F322F4" w:rsidRPr="001E237C" w:rsidRDefault="00F322F4" w:rsidP="00CD33A3">
            <w:pPr>
              <w:spacing w:line="266" w:lineRule="auto"/>
              <w:ind w:right="2"/>
              <w:jc w:val="center"/>
              <w:rPr>
                <w:rFonts w:asciiTheme="minorHAnsi" w:eastAsia="Arial" w:hAnsiTheme="minorHAnsi" w:cstheme="minorHAnsi"/>
                <w:b/>
              </w:rPr>
            </w:pPr>
            <w:r w:rsidRPr="001E237C">
              <w:rPr>
                <w:rFonts w:asciiTheme="minorHAnsi" w:eastAsia="Arial" w:hAnsiTheme="minorHAnsi" w:cstheme="minorHAnsi"/>
                <w:b/>
              </w:rPr>
              <w:t>L’Institut National Supérieur de Recherche et Formation sur l’Education Inclusive</w:t>
            </w:r>
          </w:p>
          <w:p w:rsidR="00F322F4" w:rsidRPr="001E237C" w:rsidRDefault="00F322F4" w:rsidP="00CD33A3">
            <w:pPr>
              <w:spacing w:line="266" w:lineRule="auto"/>
              <w:ind w:right="2"/>
              <w:jc w:val="center"/>
              <w:rPr>
                <w:rFonts w:asciiTheme="minorHAnsi" w:eastAsia="Arial" w:hAnsiTheme="minorHAnsi" w:cstheme="minorHAnsi"/>
              </w:rPr>
            </w:pPr>
          </w:p>
          <w:p w:rsidR="00F322F4" w:rsidRPr="001E237C" w:rsidRDefault="00F322F4" w:rsidP="00F322F4">
            <w:pPr>
              <w:spacing w:line="266" w:lineRule="auto"/>
              <w:ind w:right="2"/>
              <w:jc w:val="both"/>
              <w:rPr>
                <w:rFonts w:asciiTheme="minorHAnsi" w:eastAsia="Arial" w:hAnsiTheme="minorHAnsi" w:cstheme="minorHAnsi"/>
              </w:rPr>
            </w:pPr>
            <w:r w:rsidRPr="001E237C">
              <w:rPr>
                <w:rFonts w:asciiTheme="minorHAnsi" w:eastAsia="Arial" w:hAnsiTheme="minorHAnsi" w:cstheme="minorHAnsi"/>
              </w:rPr>
              <w:t>L’INSEI est un établissement public à caractère administratif qui adresse les besoins éducatifs particuliers (BEP) et le handicap dans un soucis d’inclusion scolaire, sociale et professionnelle. L'INSEI forme les acteurs de l'accompagnement et de l'accessibilité pour l'égalité des droits et des chances, la participation et la citoyenneté des personnes handicapées.</w:t>
            </w:r>
          </w:p>
          <w:p w:rsidR="00F322F4" w:rsidRPr="001E237C" w:rsidRDefault="00F322F4" w:rsidP="00F322F4">
            <w:pPr>
              <w:spacing w:line="266" w:lineRule="auto"/>
              <w:ind w:right="2"/>
              <w:jc w:val="both"/>
              <w:rPr>
                <w:rFonts w:asciiTheme="minorHAnsi" w:eastAsia="Arial" w:hAnsiTheme="minorHAnsi" w:cstheme="minorHAnsi"/>
              </w:rPr>
            </w:pPr>
          </w:p>
          <w:p w:rsidR="00F322F4" w:rsidRPr="001E237C" w:rsidRDefault="00F322F4" w:rsidP="00F322F4">
            <w:pPr>
              <w:spacing w:line="266" w:lineRule="auto"/>
              <w:ind w:right="2"/>
              <w:jc w:val="both"/>
              <w:rPr>
                <w:rFonts w:asciiTheme="minorHAnsi" w:eastAsia="Arial" w:hAnsiTheme="minorHAnsi" w:cstheme="minorHAnsi"/>
              </w:rPr>
            </w:pPr>
            <w:r w:rsidRPr="001E237C">
              <w:rPr>
                <w:rFonts w:asciiTheme="minorHAnsi" w:eastAsia="Arial" w:hAnsiTheme="minorHAnsi" w:cstheme="minorHAnsi"/>
              </w:rPr>
              <w:t>Les missions de l’institut s’organisent autour de trois pôles : Formation, Ressources, Recherche.</w:t>
            </w:r>
          </w:p>
          <w:p w:rsidR="00F322F4" w:rsidRPr="001E237C" w:rsidRDefault="00F322F4" w:rsidP="00F322F4">
            <w:pPr>
              <w:spacing w:line="266" w:lineRule="auto"/>
              <w:ind w:right="2"/>
              <w:jc w:val="both"/>
              <w:rPr>
                <w:rFonts w:asciiTheme="minorHAnsi" w:eastAsia="Arial" w:hAnsiTheme="minorHAnsi" w:cstheme="minorHAnsi"/>
              </w:rPr>
            </w:pPr>
            <w:r w:rsidRPr="001E237C">
              <w:rPr>
                <w:rFonts w:asciiTheme="minorHAnsi" w:eastAsia="Arial" w:hAnsiTheme="minorHAnsi" w:cstheme="minorHAnsi"/>
              </w:rPr>
              <w:t xml:space="preserve">- </w:t>
            </w:r>
            <w:r w:rsidRPr="001E237C">
              <w:rPr>
                <w:rFonts w:asciiTheme="minorHAnsi" w:eastAsia="Arial" w:hAnsiTheme="minorHAnsi" w:cstheme="minorHAnsi"/>
                <w:b/>
              </w:rPr>
              <w:t>Formations</w:t>
            </w:r>
            <w:r w:rsidRPr="001E237C">
              <w:rPr>
                <w:rFonts w:asciiTheme="minorHAnsi" w:eastAsia="Arial" w:hAnsiTheme="minorHAnsi" w:cstheme="minorHAnsi"/>
              </w:rPr>
              <w:t xml:space="preserve"> : initiales et continues, destinées aux professionnels et aux particuliers pour répondre aux questions de l’accessibilité et de l’accompagnement.</w:t>
            </w:r>
          </w:p>
          <w:p w:rsidR="00F322F4" w:rsidRPr="001E237C" w:rsidRDefault="00F322F4" w:rsidP="00F322F4">
            <w:pPr>
              <w:spacing w:line="266" w:lineRule="auto"/>
              <w:ind w:right="2"/>
              <w:jc w:val="both"/>
              <w:rPr>
                <w:rFonts w:asciiTheme="minorHAnsi" w:eastAsia="Arial" w:hAnsiTheme="minorHAnsi" w:cstheme="minorHAnsi"/>
              </w:rPr>
            </w:pPr>
            <w:r w:rsidRPr="001E237C">
              <w:rPr>
                <w:rFonts w:asciiTheme="minorHAnsi" w:eastAsia="Arial" w:hAnsiTheme="minorHAnsi" w:cstheme="minorHAnsi"/>
              </w:rPr>
              <w:t xml:space="preserve">- </w:t>
            </w:r>
            <w:r w:rsidRPr="001E237C">
              <w:rPr>
                <w:rFonts w:asciiTheme="minorHAnsi" w:eastAsia="Arial" w:hAnsiTheme="minorHAnsi" w:cstheme="minorHAnsi"/>
                <w:b/>
              </w:rPr>
              <w:t>Ressources</w:t>
            </w:r>
            <w:r w:rsidRPr="001E237C">
              <w:rPr>
                <w:rFonts w:asciiTheme="minorHAnsi" w:eastAsia="Arial" w:hAnsiTheme="minorHAnsi" w:cstheme="minorHAnsi"/>
              </w:rPr>
              <w:t xml:space="preserve"> : contribuer à l'information, à l'édition et à la diffusion des ressources techniques, scientifiques et pédagogiques destinés aux professionnels de l'accompagnement et de l'accessibilité éducative, sociale et professionnelle.</w:t>
            </w:r>
          </w:p>
          <w:p w:rsidR="00F322F4" w:rsidRPr="001E237C" w:rsidRDefault="00F322F4" w:rsidP="00F322F4">
            <w:pPr>
              <w:spacing w:line="266" w:lineRule="auto"/>
              <w:ind w:right="2"/>
              <w:jc w:val="both"/>
              <w:rPr>
                <w:rFonts w:asciiTheme="minorHAnsi" w:eastAsia="Arial" w:hAnsiTheme="minorHAnsi" w:cstheme="minorHAnsi"/>
              </w:rPr>
            </w:pPr>
            <w:r w:rsidRPr="001E237C">
              <w:rPr>
                <w:rFonts w:asciiTheme="minorHAnsi" w:eastAsia="Arial" w:hAnsiTheme="minorHAnsi" w:cstheme="minorHAnsi"/>
              </w:rPr>
              <w:t xml:space="preserve">- </w:t>
            </w:r>
            <w:r w:rsidRPr="001E237C">
              <w:rPr>
                <w:rFonts w:asciiTheme="minorHAnsi" w:eastAsia="Arial" w:hAnsiTheme="minorHAnsi" w:cstheme="minorHAnsi"/>
                <w:b/>
              </w:rPr>
              <w:t>Recherche</w:t>
            </w:r>
            <w:r w:rsidRPr="001E237C">
              <w:rPr>
                <w:rFonts w:asciiTheme="minorHAnsi" w:eastAsia="Arial" w:hAnsiTheme="minorHAnsi" w:cstheme="minorHAnsi"/>
              </w:rPr>
              <w:t xml:space="preserve"> : interdisciplinaire, elle est menée au sein de l’Unité de recherche </w:t>
            </w:r>
            <w:proofErr w:type="spellStart"/>
            <w:r w:rsidRPr="001E237C">
              <w:rPr>
                <w:rFonts w:asciiTheme="minorHAnsi" w:eastAsia="Arial" w:hAnsiTheme="minorHAnsi" w:cstheme="minorHAnsi"/>
              </w:rPr>
              <w:t>G</w:t>
            </w:r>
            <w:r w:rsidR="001E237C">
              <w:rPr>
                <w:rFonts w:asciiTheme="minorHAnsi" w:eastAsia="Arial" w:hAnsiTheme="minorHAnsi" w:cstheme="minorHAnsi"/>
              </w:rPr>
              <w:t>rhapes</w:t>
            </w:r>
            <w:proofErr w:type="spellEnd"/>
            <w:r w:rsidRPr="001E237C">
              <w:rPr>
                <w:rFonts w:asciiTheme="minorHAnsi" w:eastAsia="Arial" w:hAnsiTheme="minorHAnsi" w:cstheme="minorHAnsi"/>
              </w:rPr>
              <w:t xml:space="preserve"> (UR 7287) qui étudie les publics à BEP pour faciliter leur scolarisation, leur éducation et leur insertion. L’unité de recherche a pour mission d’articuler enseignement, recherche et productions de ressources pour permettre aux acteurs des </w:t>
            </w:r>
            <w:r w:rsidRPr="001E237C">
              <w:rPr>
                <w:rFonts w:asciiTheme="minorHAnsi" w:eastAsia="Arial" w:hAnsiTheme="minorHAnsi" w:cstheme="minorHAnsi"/>
              </w:rPr>
              <w:lastRenderedPageBreak/>
              <w:t>systèmes éducatifs de répondre à la diversité des profils et des besoins éducatifs, de faciliter les apprentissages et l’inscription sociale et professionnelle des élèves.</w:t>
            </w:r>
          </w:p>
          <w:p w:rsidR="00F322F4" w:rsidRPr="001E237C" w:rsidRDefault="00F322F4" w:rsidP="00F322F4">
            <w:pPr>
              <w:spacing w:line="266" w:lineRule="auto"/>
              <w:ind w:right="2"/>
              <w:jc w:val="both"/>
              <w:rPr>
                <w:rFonts w:asciiTheme="minorHAnsi" w:eastAsia="Arial" w:hAnsiTheme="minorHAnsi" w:cstheme="minorHAnsi"/>
              </w:rPr>
            </w:pPr>
          </w:p>
          <w:p w:rsidR="00F322F4" w:rsidRPr="001E237C" w:rsidRDefault="00F322F4" w:rsidP="00274A5E">
            <w:pPr>
              <w:spacing w:line="266" w:lineRule="auto"/>
              <w:ind w:right="2"/>
              <w:jc w:val="both"/>
              <w:rPr>
                <w:rFonts w:asciiTheme="minorHAnsi" w:eastAsia="Arial" w:hAnsiTheme="minorHAnsi" w:cstheme="minorHAnsi"/>
              </w:rPr>
            </w:pPr>
            <w:r w:rsidRPr="001E237C">
              <w:rPr>
                <w:rFonts w:asciiTheme="minorHAnsi" w:eastAsia="Arial" w:hAnsiTheme="minorHAnsi" w:cstheme="minorHAnsi"/>
              </w:rPr>
              <w:t xml:space="preserve">L’INSEI s’intéresse particulièrement aux nouvelles technologies et leur apport potentiel en termes de facilitation d’apprentissage, comme par exemple les jeux sérieux, les têtes parlantes, les ressources numériques disponibles (ORNA) ou la robotique. Entre autres, l’institut héberge la chaire Unesco Handicap, Education, Numérique (HEN). Le projet présenté ici, dans lequel s’inscrit ce sujet, est porté par le programme de recherche « Médiations robotiques » du </w:t>
            </w:r>
            <w:proofErr w:type="spellStart"/>
            <w:r w:rsidRPr="001E237C">
              <w:rPr>
                <w:rFonts w:asciiTheme="minorHAnsi" w:eastAsia="Arial" w:hAnsiTheme="minorHAnsi" w:cstheme="minorHAnsi"/>
              </w:rPr>
              <w:t>Grhapes</w:t>
            </w:r>
            <w:proofErr w:type="spellEnd"/>
            <w:r w:rsidRPr="001E237C">
              <w:rPr>
                <w:rFonts w:asciiTheme="minorHAnsi" w:eastAsia="Arial" w:hAnsiTheme="minorHAnsi" w:cstheme="minorHAnsi"/>
              </w:rPr>
              <w:t>.</w:t>
            </w:r>
          </w:p>
        </w:tc>
      </w:tr>
    </w:tbl>
    <w:p w:rsidR="006F0693" w:rsidRDefault="006F0693"/>
    <w:sectPr w:rsidR="006F0693">
      <w:pgSz w:w="11920" w:h="16840"/>
      <w:pgMar w:top="1250" w:right="1440" w:bottom="87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01A88"/>
    <w:multiLevelType w:val="hybridMultilevel"/>
    <w:tmpl w:val="E4EA6876"/>
    <w:lvl w:ilvl="0" w:tplc="A3DA7D3C">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7A42C8"/>
    <w:multiLevelType w:val="hybridMultilevel"/>
    <w:tmpl w:val="50D0B8F6"/>
    <w:lvl w:ilvl="0" w:tplc="58784E54">
      <w:start w:val="1"/>
      <w:numFmt w:val="bullet"/>
      <w:lvlText w:val="-"/>
      <w:lvlJc w:val="left"/>
      <w:pPr>
        <w:ind w:left="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53E531A">
      <w:start w:val="1"/>
      <w:numFmt w:val="bullet"/>
      <w:lvlText w:val="o"/>
      <w:lvlJc w:val="left"/>
      <w:pPr>
        <w:ind w:left="11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E448248">
      <w:start w:val="1"/>
      <w:numFmt w:val="bullet"/>
      <w:lvlText w:val="▪"/>
      <w:lvlJc w:val="left"/>
      <w:pPr>
        <w:ind w:left="18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B547F58">
      <w:start w:val="1"/>
      <w:numFmt w:val="bullet"/>
      <w:lvlText w:val="•"/>
      <w:lvlJc w:val="left"/>
      <w:pPr>
        <w:ind w:left="26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6104DFE">
      <w:start w:val="1"/>
      <w:numFmt w:val="bullet"/>
      <w:lvlText w:val="o"/>
      <w:lvlJc w:val="left"/>
      <w:pPr>
        <w:ind w:left="33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7D21DB2">
      <w:start w:val="1"/>
      <w:numFmt w:val="bullet"/>
      <w:lvlText w:val="▪"/>
      <w:lvlJc w:val="left"/>
      <w:pPr>
        <w:ind w:left="40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4FAF6A8">
      <w:start w:val="1"/>
      <w:numFmt w:val="bullet"/>
      <w:lvlText w:val="•"/>
      <w:lvlJc w:val="left"/>
      <w:pPr>
        <w:ind w:left="47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3AD416">
      <w:start w:val="1"/>
      <w:numFmt w:val="bullet"/>
      <w:lvlText w:val="o"/>
      <w:lvlJc w:val="left"/>
      <w:pPr>
        <w:ind w:left="54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7B4D5A8">
      <w:start w:val="1"/>
      <w:numFmt w:val="bullet"/>
      <w:lvlText w:val="▪"/>
      <w:lvlJc w:val="left"/>
      <w:pPr>
        <w:ind w:left="62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5721BD0"/>
    <w:multiLevelType w:val="hybridMultilevel"/>
    <w:tmpl w:val="6E763230"/>
    <w:lvl w:ilvl="0" w:tplc="C9EE2F06">
      <w:start w:val="3"/>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3CE6C70">
      <w:start w:val="1"/>
      <w:numFmt w:val="lowerLetter"/>
      <w:lvlText w:val="%2"/>
      <w:lvlJc w:val="left"/>
      <w:pPr>
        <w:ind w:left="11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7042AA8">
      <w:start w:val="1"/>
      <w:numFmt w:val="lowerRoman"/>
      <w:lvlText w:val="%3"/>
      <w:lvlJc w:val="left"/>
      <w:pPr>
        <w:ind w:left="18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D605B0E">
      <w:start w:val="1"/>
      <w:numFmt w:val="decimal"/>
      <w:lvlText w:val="%4"/>
      <w:lvlJc w:val="left"/>
      <w:pPr>
        <w:ind w:left="26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58E97C">
      <w:start w:val="1"/>
      <w:numFmt w:val="lowerLetter"/>
      <w:lvlText w:val="%5"/>
      <w:lvlJc w:val="left"/>
      <w:pPr>
        <w:ind w:left="33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77A87EA">
      <w:start w:val="1"/>
      <w:numFmt w:val="lowerRoman"/>
      <w:lvlText w:val="%6"/>
      <w:lvlJc w:val="left"/>
      <w:pPr>
        <w:ind w:left="40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4789180">
      <w:start w:val="1"/>
      <w:numFmt w:val="decimal"/>
      <w:lvlText w:val="%7"/>
      <w:lvlJc w:val="left"/>
      <w:pPr>
        <w:ind w:left="47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852CF28">
      <w:start w:val="1"/>
      <w:numFmt w:val="lowerLetter"/>
      <w:lvlText w:val="%8"/>
      <w:lvlJc w:val="left"/>
      <w:pPr>
        <w:ind w:left="54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2EEAC5E">
      <w:start w:val="1"/>
      <w:numFmt w:val="lowerRoman"/>
      <w:lvlText w:val="%9"/>
      <w:lvlJc w:val="left"/>
      <w:pPr>
        <w:ind w:left="62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C462948"/>
    <w:multiLevelType w:val="hybridMultilevel"/>
    <w:tmpl w:val="CFD8259C"/>
    <w:lvl w:ilvl="0" w:tplc="490E1E1E">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B23EA2">
      <w:start w:val="1"/>
      <w:numFmt w:val="bullet"/>
      <w:lvlText w:val="o"/>
      <w:lvlJc w:val="left"/>
      <w:pPr>
        <w:ind w:left="1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0C69648">
      <w:start w:val="1"/>
      <w:numFmt w:val="bullet"/>
      <w:lvlText w:val="▪"/>
      <w:lvlJc w:val="left"/>
      <w:pPr>
        <w:ind w:left="2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6F62E6C">
      <w:start w:val="1"/>
      <w:numFmt w:val="bullet"/>
      <w:lvlText w:val="•"/>
      <w:lvlJc w:val="left"/>
      <w:pPr>
        <w:ind w:left="2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6A47A4">
      <w:start w:val="1"/>
      <w:numFmt w:val="bullet"/>
      <w:lvlText w:val="o"/>
      <w:lvlJc w:val="left"/>
      <w:pPr>
        <w:ind w:left="3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5E626E2">
      <w:start w:val="1"/>
      <w:numFmt w:val="bullet"/>
      <w:lvlText w:val="▪"/>
      <w:lvlJc w:val="left"/>
      <w:pPr>
        <w:ind w:left="4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5243D48">
      <w:start w:val="1"/>
      <w:numFmt w:val="bullet"/>
      <w:lvlText w:val="•"/>
      <w:lvlJc w:val="left"/>
      <w:pPr>
        <w:ind w:left="4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CE113A">
      <w:start w:val="1"/>
      <w:numFmt w:val="bullet"/>
      <w:lvlText w:val="o"/>
      <w:lvlJc w:val="left"/>
      <w:pPr>
        <w:ind w:left="5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16E71F4">
      <w:start w:val="1"/>
      <w:numFmt w:val="bullet"/>
      <w:lvlText w:val="▪"/>
      <w:lvlJc w:val="left"/>
      <w:pPr>
        <w:ind w:left="6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DA52C73"/>
    <w:multiLevelType w:val="hybridMultilevel"/>
    <w:tmpl w:val="9FAAB3EA"/>
    <w:lvl w:ilvl="0" w:tplc="313A0358">
      <w:numFmt w:val="bullet"/>
      <w:lvlText w:val="-"/>
      <w:lvlJc w:val="left"/>
      <w:pPr>
        <w:ind w:left="720" w:hanging="360"/>
      </w:pPr>
      <w:rPr>
        <w:rFonts w:ascii="Calibri" w:eastAsia="Aria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C38453E"/>
    <w:multiLevelType w:val="hybridMultilevel"/>
    <w:tmpl w:val="64D48D12"/>
    <w:lvl w:ilvl="0" w:tplc="B7ACCF54">
      <w:start w:val="1"/>
      <w:numFmt w:val="decimal"/>
      <w:lvlText w:val="%1."/>
      <w:lvlJc w:val="left"/>
      <w:pPr>
        <w:ind w:left="720" w:hanging="360"/>
      </w:pPr>
      <w:rPr>
        <w:rFonts w:ascii="Arial" w:eastAsia="Arial"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A3C03B0"/>
    <w:multiLevelType w:val="hybridMultilevel"/>
    <w:tmpl w:val="63088EEA"/>
    <w:lvl w:ilvl="0" w:tplc="53F8E256">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EEF740">
      <w:start w:val="1"/>
      <w:numFmt w:val="bullet"/>
      <w:lvlText w:val="o"/>
      <w:lvlJc w:val="left"/>
      <w:pPr>
        <w:ind w:left="1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188A03E">
      <w:start w:val="1"/>
      <w:numFmt w:val="bullet"/>
      <w:lvlText w:val="▪"/>
      <w:lvlJc w:val="left"/>
      <w:pPr>
        <w:ind w:left="1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DA988C">
      <w:start w:val="1"/>
      <w:numFmt w:val="bullet"/>
      <w:lvlText w:val="•"/>
      <w:lvlJc w:val="left"/>
      <w:pPr>
        <w:ind w:left="26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3ED876">
      <w:start w:val="1"/>
      <w:numFmt w:val="bullet"/>
      <w:lvlText w:val="o"/>
      <w:lvlJc w:val="left"/>
      <w:pPr>
        <w:ind w:left="33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4729DDA">
      <w:start w:val="1"/>
      <w:numFmt w:val="bullet"/>
      <w:lvlText w:val="▪"/>
      <w:lvlJc w:val="left"/>
      <w:pPr>
        <w:ind w:left="40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9CCCA44">
      <w:start w:val="1"/>
      <w:numFmt w:val="bullet"/>
      <w:lvlText w:val="•"/>
      <w:lvlJc w:val="left"/>
      <w:pPr>
        <w:ind w:left="47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EEE1C0">
      <w:start w:val="1"/>
      <w:numFmt w:val="bullet"/>
      <w:lvlText w:val="o"/>
      <w:lvlJc w:val="left"/>
      <w:pPr>
        <w:ind w:left="5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C8ABE5C">
      <w:start w:val="1"/>
      <w:numFmt w:val="bullet"/>
      <w:lvlText w:val="▪"/>
      <w:lvlJc w:val="left"/>
      <w:pPr>
        <w:ind w:left="6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0117F67"/>
    <w:multiLevelType w:val="hybridMultilevel"/>
    <w:tmpl w:val="2416C458"/>
    <w:lvl w:ilvl="0" w:tplc="EBC463FC">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1"/>
  </w:num>
  <w:num w:numId="5">
    <w:abstractNumId w:val="7"/>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B56"/>
    <w:rsid w:val="0006764A"/>
    <w:rsid w:val="0017681E"/>
    <w:rsid w:val="001A7B56"/>
    <w:rsid w:val="001E237C"/>
    <w:rsid w:val="002332AE"/>
    <w:rsid w:val="00274A5E"/>
    <w:rsid w:val="002C3F21"/>
    <w:rsid w:val="002F69C8"/>
    <w:rsid w:val="003120C7"/>
    <w:rsid w:val="003513B1"/>
    <w:rsid w:val="004469C7"/>
    <w:rsid w:val="004B138A"/>
    <w:rsid w:val="00541D6B"/>
    <w:rsid w:val="005907DD"/>
    <w:rsid w:val="005C3CEA"/>
    <w:rsid w:val="00633E62"/>
    <w:rsid w:val="006416CB"/>
    <w:rsid w:val="006F0693"/>
    <w:rsid w:val="00717DCA"/>
    <w:rsid w:val="007A18E3"/>
    <w:rsid w:val="0086539F"/>
    <w:rsid w:val="00866A1A"/>
    <w:rsid w:val="009403F8"/>
    <w:rsid w:val="009D4CEE"/>
    <w:rsid w:val="00B334EF"/>
    <w:rsid w:val="00B966E1"/>
    <w:rsid w:val="00BA511F"/>
    <w:rsid w:val="00C527D2"/>
    <w:rsid w:val="00C558B2"/>
    <w:rsid w:val="00CD33A3"/>
    <w:rsid w:val="00D6144E"/>
    <w:rsid w:val="00EE6258"/>
    <w:rsid w:val="00F322F4"/>
    <w:rsid w:val="00F71026"/>
    <w:rsid w:val="00FF4E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B22527-977D-41BC-B771-16E2424C3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Lienhypertexte">
    <w:name w:val="Hyperlink"/>
    <w:basedOn w:val="Policepardfaut"/>
    <w:uiPriority w:val="99"/>
    <w:unhideWhenUsed/>
    <w:rsid w:val="009403F8"/>
    <w:rPr>
      <w:color w:val="0563C1" w:themeColor="hyperlink"/>
      <w:u w:val="single"/>
    </w:rPr>
  </w:style>
  <w:style w:type="character" w:styleId="Mentionnonrsolue">
    <w:name w:val="Unresolved Mention"/>
    <w:basedOn w:val="Policepardfaut"/>
    <w:uiPriority w:val="99"/>
    <w:semiHidden/>
    <w:unhideWhenUsed/>
    <w:rsid w:val="009403F8"/>
    <w:rPr>
      <w:color w:val="605E5C"/>
      <w:shd w:val="clear" w:color="auto" w:fill="E1DFDD"/>
    </w:rPr>
  </w:style>
  <w:style w:type="paragraph" w:styleId="Paragraphedeliste">
    <w:name w:val="List Paragraph"/>
    <w:basedOn w:val="Normal"/>
    <w:uiPriority w:val="34"/>
    <w:qFormat/>
    <w:rsid w:val="002F69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007/s10209-005-0116-3" TargetMode="External"/><Relationship Id="rId3" Type="http://schemas.openxmlformats.org/officeDocument/2006/relationships/settings" Target="settings.xml"/><Relationship Id="rId7" Type="http://schemas.openxmlformats.org/officeDocument/2006/relationships/hyperlink" Target="mailto:sophie.sakka@insei.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phie.sakka@insei.fr"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935</TotalTime>
  <Pages>4</Pages>
  <Words>1522</Words>
  <Characters>8377</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offre de stage - médiation robotique et TSA</vt:lpstr>
    </vt:vector>
  </TitlesOfParts>
  <Company/>
  <LinksUpToDate>false</LinksUpToDate>
  <CharactersWithSpaces>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offre de stage - médiation robotique et TSA</dc:title>
  <dc:subject/>
  <dc:creator>Sophie SAKKA</dc:creator>
  <cp:keywords/>
  <dc:description/>
  <cp:lastModifiedBy>Sophie SAKKA</cp:lastModifiedBy>
  <cp:revision>7</cp:revision>
  <dcterms:created xsi:type="dcterms:W3CDTF">2025-01-27T15:24:00Z</dcterms:created>
  <dcterms:modified xsi:type="dcterms:W3CDTF">2025-05-16T09:50:00Z</dcterms:modified>
</cp:coreProperties>
</file>